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A24" w:rsidRDefault="00DD5A24" w:rsidP="00DD5A2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D5A2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الاجتهاد في الجرح والتعديل</w:t>
      </w:r>
    </w:p>
    <w:p w:rsidR="00462D16" w:rsidRDefault="00462D16" w:rsidP="00DD5A2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DD5A24" w:rsidRPr="00DD5A24" w:rsidRDefault="00DD5A24" w:rsidP="00DD5A2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CE09FC" w:rsidRPr="00DD5A24" w:rsidRDefault="00A713BA" w:rsidP="00DD5A2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5A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09FC" w:rsidRPr="00DD5A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09FC"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الاجتهاد في نقد الرجال تعديلاً وتجريحًا ممتنع</w:t>
      </w:r>
      <w:r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بأن يقول الناظر</w:t>
      </w:r>
      <w:r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E09FC"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مقبول الرواية</w:t>
      </w:r>
      <w:r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وذاك مردود</w:t>
      </w:r>
      <w:r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 أم أن ذل</w:t>
      </w:r>
      <w:r w:rsidR="00B063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 سائغ وباقٍ</w:t>
      </w:r>
      <w:r w:rsidR="00CE09FC" w:rsidRPr="00DD5A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E09FC" w:rsidRPr="00DD5A24" w:rsidRDefault="00A713BA" w:rsidP="00DD5A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D5A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09FC" w:rsidRPr="00DD5A2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09FC">
        <w:rPr>
          <w:rFonts w:hint="cs"/>
          <w:b/>
          <w:sz w:val="32"/>
          <w:szCs w:val="36"/>
          <w:rtl/>
        </w:rPr>
        <w:t xml:space="preserve">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الجرح والتعديل منه ما هو مجرد نقل محض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وهذا للأئمة الذين عاصروا الرواة ومن نقل عنهم بالسند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وأما المتأخر الذي لم يعاصر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وليست له رواية عن الأئمة بالسند فإنه حينئذٍ ينتقل إلى النظر في المدونات من كتب الجرح والتعديل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ينظر في أقوال أهل العلم من علماء الجرح والتعديل في هذا الراوي ويوازن بين هذه الأقوال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فينظر في أقوال المعدلِّين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وينظر في أقوال المجر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حين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وهل منهم من عدله مطلقًا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وهل منهم من وثقه في بعض الأحوال وعن بعض الشيوخ دون بعض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وهل منهم من وثقه في أول أمره وضعفه في آخره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وهل منهم من جر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حه مطلقًا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أو جر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حه في بعض شيوخه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إلى غير ذلك مما هو معلوم في كتب علوم الحديث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للناظر المتأهل الذي أدام النظر في كتب الرجال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وفي أقوال أهل العلم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وفي مواقع استعمالهم لهذه الأقوال النظرية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 فإذا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نَظر في أقوال الرجال ونظر في مروياتهم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ووازن بين أقوالهم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جرحًا وتعديلًا،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وقد تأهّل قبل ذلك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له أن يخرج برأي يستخلصه ويستوحيه وي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تشفه من أقوال أهل العلم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كما فعل الذهبي وابن حجر وغيرُهما ممن صنف من المتأخرين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فتجد الحافظ ابن حجر يحكم على راوٍ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بأنه ثقة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 ويحكم على راوٍ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بأنه صدوق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 ويحكم على راوٍ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بأنه ضعيف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 ويحكم على راوٍ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بأنه مقبول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 ويحكم على راوٍ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بأنه ليّن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5A2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ابن حجر ما عاصر الرواة إنما نظر في أقوال الأئمة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لنظرية المدونة في كتب العلم وفي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ما يروى عنهم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وقارن بينها وبين صنيعهم في مواقع الاستعمال</w:t>
      </w:r>
      <w:r w:rsid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5A24">
        <w:rPr>
          <w:rFonts w:ascii="Simplified Arabic" w:hAnsi="Simplified Arabic" w:cs="Simplified Arabic" w:hint="cs"/>
          <w:sz w:val="28"/>
          <w:szCs w:val="28"/>
          <w:rtl/>
        </w:rPr>
        <w:t>إذ إن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التوثيق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أحيانًا 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ؤخذ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من تصحيح حديث مثلًا،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ويؤخذ التضعيف من رد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حديث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هذا لا يستقل بالحكم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صحح الحكم ويعمل به وحديثه بمفرده قد لا يصل إلى درجة الصحيح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لكن لما يحتف به من أمور مقوية من الكتاب أو من السنة الصحيحة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العلماء لهم أنظار في هذا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والمتأخرون و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ظ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يفتهم النظر في أقوال المتقدمين والموازنة بينها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والنظر أيضًا في مرويات الراوي فإن كان موافق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 للرواة الثقات الأثبات فهو حافظ ضابط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مخالفًا لهم فليس بضابط ولا حافظ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، قال الحافظ العراقي 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–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362"/>
        <w:gridCol w:w="567"/>
        <w:gridCol w:w="3369"/>
      </w:tblGrid>
      <w:tr w:rsidR="00CE09FC" w:rsidRPr="00DD5A24" w:rsidTr="001A7B13">
        <w:tc>
          <w:tcPr>
            <w:tcW w:w="3362" w:type="dxa"/>
          </w:tcPr>
          <w:p w:rsidR="00CE09FC" w:rsidRPr="00DD5A24" w:rsidRDefault="00CE09FC" w:rsidP="00DD5A24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ومن يوافق غالبًا ذا </w:t>
            </w:r>
            <w:r w:rsidR="00A713BA" w:rsidRPr="00DD5A24">
              <w:rPr>
                <w:rFonts w:ascii="Simplified Arabic" w:hAnsi="Simplified Arabic" w:cs="Simplified Arabic"/>
                <w:sz w:val="28"/>
                <w:szCs w:val="28"/>
                <w:rtl/>
              </w:rPr>
              <w:t>الضَّبْطِ</w:t>
            </w:r>
            <w:r w:rsidRP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</w:t>
            </w:r>
            <w:r w:rsidRPr="00DD5A24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  <w:tc>
          <w:tcPr>
            <w:tcW w:w="567" w:type="dxa"/>
          </w:tcPr>
          <w:p w:rsidR="00CE09FC" w:rsidRPr="00DD5A24" w:rsidRDefault="00CE09FC" w:rsidP="00DD5A24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69" w:type="dxa"/>
          </w:tcPr>
          <w:p w:rsidR="00CE09FC" w:rsidRPr="00DD5A24" w:rsidRDefault="00CE09FC" w:rsidP="00DD5A24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D5A24">
              <w:rPr>
                <w:rFonts w:ascii="Simplified Arabic" w:hAnsi="Simplified Arabic" w:cs="Simplified Arabic"/>
                <w:sz w:val="28"/>
                <w:szCs w:val="28"/>
                <w:rtl/>
              </w:rPr>
              <w:t>فضابط</w:t>
            </w:r>
            <w:r w:rsidR="00A713BA" w:rsidRP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ٌ،</w:t>
            </w:r>
            <w:r w:rsidR="00DD5A2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أو نا</w:t>
            </w:r>
            <w:r w:rsid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در</w:t>
            </w:r>
            <w:r w:rsidR="00A713BA" w:rsidRP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 w:rsidRPr="00DD5A24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 </w:t>
            </w:r>
            <w:r w:rsidR="00A713BA" w:rsidRPr="00DD5A24">
              <w:rPr>
                <w:rFonts w:ascii="Simplified Arabic" w:hAnsi="Simplified Arabic" w:cs="Simplified Arabic"/>
                <w:sz w:val="28"/>
                <w:szCs w:val="28"/>
                <w:rtl/>
              </w:rPr>
              <w:t>فَمُخْطِيْ</w:t>
            </w:r>
            <w:r w:rsidRPr="00DD5A24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</w:t>
            </w:r>
            <w:r w:rsidRPr="00DD5A24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:rsidR="00A713BA" w:rsidRPr="00DD5A24" w:rsidRDefault="00A713BA" w:rsidP="00DD5A2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D5A2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هم ينظرون بين الكلام النظري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ومواقع الاستعمال العملي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ويطبقون هذا على هذا ويخلصون برأي وسط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فإذا وجدنا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أحد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الرواة عشرة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 وثقوه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وخمسة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ضع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فوه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lastRenderedPageBreak/>
        <w:t>ننظر أيضًا في مسألة تقديم الجرح على التعديل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والنظر في الجرح المفس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والجرح غير المفس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إلى غير ذلك مما يحتاجه طالب العلم من قواعد الجرح والتعديل.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ومع ذلك فالطالب الذي لا يدرك حقائق الأمور في هذا الباب قد يجد شيئًا يظنه اضطرابًا،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فيجد كلام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لعال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مٍ في أحد الرواة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توثيق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ًا، ويجد لنفس العالم في ه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ذا الراوي تضعيف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وقد يضعفه في شيخ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وقد يقويه في شيخ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وما أشبه ذلك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فطالب العلم عليه أن يتريث في هذه المسألة ولا يتعجل في الأحكام حتى يتأهل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لأن الكلام في أعراض المسلمين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highlight w:val="darkCyan"/>
          <w:rtl/>
        </w:rPr>
        <w:t>محرم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وهذا منه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من جرّح راوي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فإنه يت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سبب في إسقاط حديثه، وإذا وثق راويًا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تسبب في قبول حديثه وقد لا يكون مقبولاً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فيعمل بسنة لا أصل لها في الواقع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أو يترك سنة لها أصل صحيح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لكنه باجتهاده الذي لم يُب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ْنَ على أساس يكون سببًا في قبول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حديث ضعيف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أو رد حديث صحيح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فعلى طالب العلم أن يتقي الله في ذلك ويتريث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E09FC" w:rsidRPr="00DD5A24" w:rsidRDefault="00A713BA" w:rsidP="00DD5A24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ومما قد يقف عليه طالبُ العلم من كلام العلماء ويظنه اضطرابًا كلامُ ابن حجر في عبيد الله بن الأخنس، وهو من رواة (صحيح البخاري)،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عنه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ابن حجر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وث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قه الأئمة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 xml:space="preserve"> وشذ 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بن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 xml:space="preserve"> حبان فقال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الثقات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 xml:space="preserve"> يخطئ كثير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ا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وقال عنه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التقريب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صدوق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قال ابن حبان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كان 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يخطئ كثير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DD5A24">
        <w:rPr>
          <w:rFonts w:ascii="Simplified Arabic" w:hAnsi="Simplified Arabic" w:cs="Simplified Arabic"/>
          <w:sz w:val="28"/>
          <w:szCs w:val="28"/>
          <w:rtl/>
        </w:rPr>
        <w:t>ا</w:t>
      </w:r>
      <w:r w:rsidR="00B0632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فشتان بين القولين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هو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نظر إلى روايته المخر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جة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فحكم عليه بالتوثيق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وحكم على قول ابن حبان بالشذوذ نظرًا إلى هذه الرواية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وأنه من رواة البخاري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وأنه جاز القنطرة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وروايته صحيحة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لكن في حكمه عليه على سبيل العموم في 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>التقريب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D5A24">
        <w:rPr>
          <w:rFonts w:ascii="Simplified Arabic" w:hAnsi="Simplified Arabic" w:cs="Simplified Arabic" w:hint="cs"/>
          <w:sz w:val="28"/>
          <w:szCs w:val="28"/>
          <w:rtl/>
        </w:rPr>
        <w:t>حيث إنه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يروي أحاديث في الصحيح وخارج الصحيح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فيحتاج إلى حكم متوازن يشمل جميع الكتب</w:t>
      </w:r>
      <w:r w:rsidRPr="00DD5A2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D5A24">
        <w:rPr>
          <w:rFonts w:ascii="Simplified Arabic" w:hAnsi="Simplified Arabic" w:cs="Simplified Arabic" w:hint="cs"/>
          <w:sz w:val="28"/>
          <w:szCs w:val="28"/>
          <w:rtl/>
        </w:rPr>
        <w:t xml:space="preserve"> فحكم عليه بأنه صدوق،</w:t>
      </w:r>
      <w:r w:rsidR="00CE09FC" w:rsidRPr="00DD5A24">
        <w:rPr>
          <w:rFonts w:ascii="Simplified Arabic" w:hAnsi="Simplified Arabic" w:cs="Simplified Arabic" w:hint="cs"/>
          <w:sz w:val="28"/>
          <w:szCs w:val="28"/>
          <w:rtl/>
        </w:rPr>
        <w:t xml:space="preserve"> فهذا من الأنظار الدقيقة التي ينبغي لطالب العلم الاهتمام بها.</w:t>
      </w:r>
    </w:p>
    <w:p w:rsidR="00CE09FC" w:rsidRPr="00DD5A24" w:rsidRDefault="00CE09FC" w:rsidP="00DD5A2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CE09FC" w:rsidP="00DD5A24">
      <w:pPr>
        <w:spacing w:before="120" w:after="120" w:line="240" w:lineRule="atLeast"/>
        <w:jc w:val="both"/>
        <w:rPr>
          <w:rtl/>
        </w:rPr>
      </w:pPr>
      <w:r w:rsidRPr="00DD5A24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sectPr w:rsidR="00E67D5A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753" w:rsidRDefault="006E5753" w:rsidP="00CE09FC">
      <w:r>
        <w:separator/>
      </w:r>
    </w:p>
  </w:endnote>
  <w:endnote w:type="continuationSeparator" w:id="0">
    <w:p w:rsidR="006E5753" w:rsidRDefault="006E5753" w:rsidP="00CE0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A27AB8-C233-4F45-907F-646C72E00710}"/>
    <w:embedBold r:id="rId2" w:fontKey="{FE1D4D07-3183-4C3B-A996-E6802639BB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A3926F-AE1B-4731-BB33-7C29F71A2E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DBD79E-12F4-4CF2-963D-EE4846CAE8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F4A997-AFA6-48B2-A922-7CCA13BE6724}"/>
    <w:embedBold r:id="rId6" w:fontKey="{B44945ED-C528-49BE-AD27-857DE8C76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EF7C14-4627-4AA1-A660-E42863CB6B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69BBB47-F433-40B1-991B-262BBC7D7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949175"/>
      <w:docPartObj>
        <w:docPartGallery w:val="Page Numbers (Bottom of Page)"/>
        <w:docPartUnique/>
      </w:docPartObj>
    </w:sdtPr>
    <w:sdtEndPr/>
    <w:sdtContent>
      <w:p w:rsidR="00CE09FC" w:rsidRDefault="00491FF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32C" w:rsidRPr="00B0632C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:rsidR="00CE09FC" w:rsidRDefault="00CE09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753" w:rsidRDefault="006E5753" w:rsidP="00CE09FC">
      <w:r>
        <w:separator/>
      </w:r>
    </w:p>
  </w:footnote>
  <w:footnote w:type="continuationSeparator" w:id="0">
    <w:p w:rsidR="006E5753" w:rsidRDefault="006E5753" w:rsidP="00CE0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9F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25F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2D16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1FF3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609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5753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3B7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821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00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3BA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86A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0632C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9FC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147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5A24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8F627DC-B71B-4EEE-BF5B-1F6CDB96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9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E09F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CE09F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E09F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E09FC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2016-01-03T04:44:00Z</cp:lastPrinted>
  <dcterms:created xsi:type="dcterms:W3CDTF">2012-12-26T07:47:00Z</dcterms:created>
  <dcterms:modified xsi:type="dcterms:W3CDTF">2019-07-09T10:32:00Z</dcterms:modified>
</cp:coreProperties>
</file>