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FEB" w:rsidRPr="00124FEB" w:rsidRDefault="003907CD" w:rsidP="00124FE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3907C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الأدعية</w:t>
      </w:r>
      <w:bookmarkStart w:id="0" w:name="_GoBack"/>
      <w:bookmarkEnd w:id="0"/>
    </w:p>
    <w:p w:rsidR="00124FEB" w:rsidRPr="00124FEB" w:rsidRDefault="00124FEB" w:rsidP="00124FE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124F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التلازم بين الدع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</w:t>
      </w:r>
      <w:r w:rsidRPr="00124F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ء ورفع اليدين</w:t>
      </w:r>
    </w:p>
    <w:p w:rsidR="00124FEB" w:rsidRPr="00124FEB" w:rsidRDefault="00124FEB" w:rsidP="00124FE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4C61AC" w:rsidRPr="00124FEB" w:rsidRDefault="00124FEB" w:rsidP="00124FE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24F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C61AC" w:rsidRPr="00124F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C61AC" w:rsidRPr="00124F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هناك تلازم بين الدعاء ورفع اليدين</w:t>
      </w:r>
      <w:r w:rsidRPr="00124F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بحيث أرفع يدي عند كل دعاء وإن لم يأت الدليل على بيان ذلك</w:t>
      </w:r>
      <w:r w:rsidRPr="00124F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C61AC" w:rsidRPr="00124F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عدم النقل دليل على العدم؟</w:t>
      </w:r>
    </w:p>
    <w:p w:rsidR="004C61AC" w:rsidRPr="00124FEB" w:rsidRDefault="00124FEB" w:rsidP="00124FE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24F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C61AC" w:rsidRPr="00124F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يشرع للداعي أن يرفع يديه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عند الدعاء،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>جاءت أحاديث كثيرة في رفع اليدين في الدعاء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وأ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>لِّفت فيها المصنفات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وللسيوطي رسالةٌ سماها 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>فضُّ الوعاء في رفع اليدين في الدعاء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) و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>جمع فيها أحاديث كثيرة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وهناك رسائل أخرى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فالأصل في الدعاء أنه مقرون برفع اليدين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، قال النبي </w:t>
      </w:r>
      <w:r w:rsidRPr="00124FEB">
        <w:rPr>
          <w:rFonts w:ascii="Simplified Arabic" w:hAnsi="Simplified Arabic" w:cs="Simplified Arabic"/>
          <w:sz w:val="28"/>
          <w:szCs w:val="28"/>
          <w:rtl/>
        </w:rPr>
        <w:t>–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عليه الصلاة والسلام-: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C61AC" w:rsidRPr="00124FE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«يمد يديه إلى السماء يا رب</w:t>
      </w:r>
      <w:r w:rsidRPr="00124FE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="004C61AC" w:rsidRPr="00124FE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يا رب»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124FE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1015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>هذا الأصل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ورفع اليدين مَظِنّة للإجابة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>هذا خارج العبادات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أمّا الدعاء في داخل العبادات فإنَّه لا بد فيه من نقل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فلا ت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>رفع اليدان في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خطبة الجمعة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إلا في موطنٍ دل عليه الدليل وهو الاستسقاء،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>قد جاء رفعهما في الاستسقاء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124FE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1029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>وفي الصلاة أيضًا لا يرفع يديه إلا فيما دل عليه الدليل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وكذلك سائر العبادات لا يتصرف فيها إلا بدليل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>وعدم ورود الدليل فيها كافٍ في عدم المشروعية في مثل هذا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لأن الأصل أن العبادات توقيفية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لا يُتصرف فيها إلا بإذن الشارع.</w:t>
      </w:r>
    </w:p>
    <w:p w:rsidR="004C61AC" w:rsidRPr="00124FEB" w:rsidRDefault="00124FEB" w:rsidP="00124FEB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24FEB">
        <w:rPr>
          <w:rFonts w:ascii="Simplified Arabic" w:hAnsi="Simplified Arabic" w:cs="Simplified Arabic" w:hint="cs"/>
          <w:sz w:val="28"/>
          <w:szCs w:val="28"/>
          <w:rtl/>
        </w:rPr>
        <w:t>ويُلاحظ من بعض المصلين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أنه 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>إذا قام من الركوع رفع يديه كهيئةِ الداعي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>هذا ليس له أصل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إنما إذا قام من الركوع يرفع يديه كما رفعهما عند تكبيرة الإحرام</w:t>
      </w:r>
      <w:r w:rsidRPr="00124F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C61AC" w:rsidRPr="00124FEB">
        <w:rPr>
          <w:rFonts w:ascii="Simplified Arabic" w:hAnsi="Simplified Arabic" w:cs="Simplified Arabic" w:hint="cs"/>
          <w:sz w:val="28"/>
          <w:szCs w:val="28"/>
          <w:rtl/>
        </w:rPr>
        <w:t xml:space="preserve"> وعند الركوع.</w:t>
      </w:r>
    </w:p>
    <w:p w:rsidR="00124FEB" w:rsidRPr="00124FEB" w:rsidRDefault="00124FEB" w:rsidP="00124FEB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24FEB" w:rsidRDefault="004C61AC" w:rsidP="00124FE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24FEB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والستون 6/1/1433هـ</w:t>
      </w:r>
    </w:p>
    <w:sectPr w:rsidR="00E67D5A" w:rsidRPr="00124FE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61A116-974D-434E-99AB-E852DBE916C8}"/>
    <w:embedBold r:id="rId2" w:fontKey="{622F04D7-9ECD-48F5-A81B-16BDA9F270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7F8DEE-1EA4-4EAB-B394-B4DA67D81D0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E47DDDF-3B36-46E7-8640-58E26715C3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1CD3BED-64CB-419B-ACAF-7D6AE6787BCC}"/>
    <w:embedBold r:id="rId6" w:fontKey="{6CDAD1B9-C9FE-41CA-8B9D-D44D268D36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19F0855-FA0C-4FD3-8F6E-5B9EA8ECA4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9B4F9A1-01A7-4CCA-828F-4885E8D377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61A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900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4FEB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7CD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61AC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854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0E41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C7825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511F83F-21F5-4ECD-833D-80A469A49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61A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2012-12-29T08:20:00Z</dcterms:created>
  <dcterms:modified xsi:type="dcterms:W3CDTF">2019-07-09T17:19:00Z</dcterms:modified>
</cp:coreProperties>
</file>