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877" w:rsidRDefault="001B1877" w:rsidP="00F41C0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007360"/>
      <w:r w:rsidRPr="001B1877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467447" w:rsidRPr="00F41C00" w:rsidRDefault="00467447" w:rsidP="00F41C0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GoBack"/>
      <w:bookmarkEnd w:id="1"/>
      <w:r w:rsidRPr="00F41C00">
        <w:rPr>
          <w:rFonts w:ascii="Simplified Arabic" w:hAnsi="Simplified Arabic"/>
          <w:color w:val="0000FF"/>
          <w:sz w:val="28"/>
          <w:szCs w:val="28"/>
          <w:rtl/>
        </w:rPr>
        <w:t>سبب بتر البخاري لحديث: "إنما الأعمال بالنيات"</w:t>
      </w:r>
      <w:bookmarkEnd w:id="0"/>
    </w:p>
    <w:p w:rsidR="00F41C00" w:rsidRDefault="00F41C00" w:rsidP="00F41C00">
      <w:pPr>
        <w:rPr>
          <w:rtl/>
        </w:rPr>
      </w:pPr>
    </w:p>
    <w:p w:rsidR="00F41C00" w:rsidRPr="00F41C00" w:rsidRDefault="00F41C00" w:rsidP="00F41C00">
      <w:pPr>
        <w:rPr>
          <w:rtl/>
        </w:rPr>
      </w:pPr>
    </w:p>
    <w:p w:rsidR="00467447" w:rsidRPr="00F41C00" w:rsidRDefault="00B864EA" w:rsidP="00F41C00">
      <w:pPr>
        <w:pStyle w:val="a7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A825B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467447" w:rsidRPr="00A825B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: </w:t>
      </w:r>
      <w:r w:rsidR="00467447" w:rsidRPr="00F41C0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ما سبب بتر البخاري لحديث: </w:t>
      </w:r>
      <w:r w:rsidR="00F41C00" w:rsidRPr="00F41C00">
        <w:rPr>
          <w:rFonts w:ascii="Simplified Arabic" w:hAnsi="Simplified Arabic" w:cs="Simplified Arabic" w:hint="eastAsia"/>
          <w:bCs w:val="0"/>
          <w:color w:val="FF0000"/>
          <w:sz w:val="28"/>
          <w:szCs w:val="28"/>
          <w:rtl/>
        </w:rPr>
        <w:t>«</w:t>
      </w:r>
      <w:r w:rsidR="00467447" w:rsidRPr="00F41C0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إنما الأعمال بالنيات</w:t>
      </w:r>
      <w:r w:rsidR="00F41C00" w:rsidRPr="00F41C00">
        <w:rPr>
          <w:rFonts w:ascii="Simplified Arabic" w:hAnsi="Simplified Arabic" w:cs="Simplified Arabic" w:hint="eastAsia"/>
          <w:bCs w:val="0"/>
          <w:color w:val="FF0000"/>
          <w:sz w:val="28"/>
          <w:szCs w:val="28"/>
          <w:rtl/>
        </w:rPr>
        <w:t>»</w:t>
      </w:r>
      <w:r w:rsidR="00467447" w:rsidRPr="00F41C0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، حيث قال فيه: </w:t>
      </w:r>
      <w:r w:rsidR="00F41C00" w:rsidRPr="00F41C00">
        <w:rPr>
          <w:rFonts w:ascii="Simplified Arabic" w:hAnsi="Simplified Arabic" w:cs="Simplified Arabic" w:hint="eastAsia"/>
          <w:bCs w:val="0"/>
          <w:color w:val="FF0000"/>
          <w:sz w:val="28"/>
          <w:szCs w:val="28"/>
          <w:rtl/>
        </w:rPr>
        <w:t>«</w:t>
      </w:r>
      <w:r w:rsidR="00467447" w:rsidRPr="00F41C0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إنما الأعمال بالنيات وإنما لكل امرئ ما نوى؛ فمن كانت هجرته لدنيا </w:t>
      </w:r>
      <w:r w:rsidR="00F41C0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يصيبها...</w:t>
      </w:r>
      <w:r w:rsidR="00F41C00" w:rsidRPr="00F41C00">
        <w:rPr>
          <w:rFonts w:ascii="Simplified Arabic" w:hAnsi="Simplified Arabic" w:cs="Simplified Arabic" w:hint="eastAsia"/>
          <w:bCs w:val="0"/>
          <w:color w:val="FF0000"/>
          <w:sz w:val="28"/>
          <w:szCs w:val="28"/>
          <w:rtl/>
        </w:rPr>
        <w:t>»</w:t>
      </w:r>
      <w:r w:rsidR="00F41C0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الحديث</w:t>
      </w:r>
      <w:r w:rsidR="00F41C0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،</w:t>
      </w:r>
      <w:r w:rsidR="00467447" w:rsidRPr="00F41C0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ولم يقل: </w:t>
      </w:r>
      <w:r w:rsidR="00F41C00" w:rsidRPr="00F41C00">
        <w:rPr>
          <w:rFonts w:ascii="Simplified Arabic" w:hAnsi="Simplified Arabic" w:cs="Simplified Arabic" w:hint="eastAsia"/>
          <w:bCs w:val="0"/>
          <w:color w:val="FF0000"/>
          <w:sz w:val="28"/>
          <w:szCs w:val="28"/>
          <w:rtl/>
        </w:rPr>
        <w:t>«</w:t>
      </w:r>
      <w:r w:rsidR="00467447" w:rsidRPr="00F41C0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فمن كانت هجرته لله ورسوله</w:t>
      </w:r>
      <w:r w:rsidR="00F41C00" w:rsidRPr="00F41C00">
        <w:rPr>
          <w:rFonts w:ascii="Simplified Arabic" w:hAnsi="Simplified Arabic" w:cs="Simplified Arabic" w:hint="eastAsia"/>
          <w:bCs w:val="0"/>
          <w:color w:val="FF0000"/>
          <w:sz w:val="28"/>
          <w:szCs w:val="28"/>
          <w:rtl/>
        </w:rPr>
        <w:t>»</w:t>
      </w:r>
      <w:r w:rsidR="00467447" w:rsidRPr="00F41C0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ما مقصده بذلك؟ وهل هو نسيان؟ </w:t>
      </w:r>
    </w:p>
    <w:p w:rsidR="00467447" w:rsidRPr="00A825B4" w:rsidRDefault="00B864EA" w:rsidP="00F41C00">
      <w:pPr>
        <w:pStyle w:val="a7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825B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467447" w:rsidRPr="00A825B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حديث </w:t>
      </w:r>
      <w:r w:rsidR="00F41C00" w:rsidRPr="00F41C00">
        <w:rPr>
          <w:rFonts w:ascii="Simplified Arabic" w:hAnsi="Simplified Arabic" w:cs="Simplified Arabic" w:hint="eastAsia"/>
          <w:bCs w:val="0"/>
          <w:sz w:val="28"/>
          <w:szCs w:val="28"/>
          <w:rtl/>
        </w:rPr>
        <w:t>«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الأعمال بالنيات</w:t>
      </w:r>
      <w:r w:rsidR="00F41C00" w:rsidRPr="00F41C00">
        <w:rPr>
          <w:rFonts w:ascii="Simplified Arabic" w:hAnsi="Simplified Arabic" w:cs="Simplified Arabic" w:hint="eastAsia"/>
          <w:bCs w:val="0"/>
          <w:sz w:val="28"/>
          <w:szCs w:val="28"/>
          <w:rtl/>
        </w:rPr>
        <w:t>»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حديث عمر الشهير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مُخَرَّج في 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صحيح الإمام البخاري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سبعة مواضع، الموضع الأول منها: في بدء الوحي، وبه افتتح الإمام البخاري كتابه، حتى قال الشراح: إنه جعل الحديث كالخطبة 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الافتتاحية للكتاب، 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البخاري -رحمه الله-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لم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ا ساق الحديث في هذا الموضع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اقتصر على الجملة الثانية </w:t>
      </w:r>
      <w:r w:rsidR="00963830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الشّق الثاني: </w:t>
      </w:r>
      <w:r w:rsidR="00F41C00" w:rsidRPr="00DD4AD6">
        <w:rPr>
          <w:rFonts w:ascii="Simplified Arabic" w:eastAsia="Times New Roman" w:hAnsi="Simplified Arabic" w:cs="Simplified Arabic" w:hint="eastAsia"/>
          <w:noProof w:val="0"/>
          <w:color w:val="0000FF"/>
          <w:sz w:val="28"/>
          <w:szCs w:val="28"/>
          <w:rtl/>
          <w:lang w:eastAsia="ar-SA"/>
        </w:rPr>
        <w:t>«</w:t>
      </w:r>
      <w:r w:rsidR="00F41C00" w:rsidRPr="00F41C00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فمن كانت هجرته إلى دنيا يصيبها، أو إلى امرأة ينكحها، فهجرته إلى ما هاجر إليه</w:t>
      </w:r>
      <w:r w:rsidR="00F41C00" w:rsidRPr="00DD4AD6">
        <w:rPr>
          <w:rFonts w:ascii="Simplified Arabic" w:eastAsia="Times New Roman" w:hAnsi="Simplified Arabic" w:cs="Simplified Arabic" w:hint="eastAsia"/>
          <w:noProof w:val="0"/>
          <w:color w:val="0000FF"/>
          <w:sz w:val="28"/>
          <w:szCs w:val="28"/>
          <w:rtl/>
          <w:lang w:eastAsia="ar-SA"/>
        </w:rPr>
        <w:t>»</w:t>
      </w:r>
      <w:r w:rsidR="00F41C0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F41C00" w:rsidRPr="00F41C00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[البخاري: 1]</w:t>
      </w:r>
      <w:r w:rsidR="00F41C0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، 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ولم يقل: </w:t>
      </w:r>
      <w:r w:rsidR="00F41C00" w:rsidRPr="00DD4AD6">
        <w:rPr>
          <w:rFonts w:ascii="Simplified Arabic" w:eastAsia="Times New Roman" w:hAnsi="Simplified Arabic" w:cs="Simplified Arabic" w:hint="eastAsia"/>
          <w:noProof w:val="0"/>
          <w:color w:val="0000FF"/>
          <w:sz w:val="28"/>
          <w:szCs w:val="28"/>
          <w:rtl/>
          <w:lang w:eastAsia="ar-SA"/>
        </w:rPr>
        <w:t>«</w:t>
      </w:r>
      <w:r w:rsidR="00467447" w:rsidRPr="009F035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فمن كانت هجرته إلى الله ورسوله، فهجرته إلى الله ورسوله</w:t>
      </w:r>
      <w:r w:rsidR="00F41C00" w:rsidRPr="00DD4AD6">
        <w:rPr>
          <w:rFonts w:ascii="Simplified Arabic" w:eastAsia="Times New Roman" w:hAnsi="Simplified Arabic" w:cs="Simplified Arabic" w:hint="eastAsia"/>
          <w:noProof w:val="0"/>
          <w:color w:val="0000FF"/>
          <w:sz w:val="28"/>
          <w:szCs w:val="28"/>
          <w:rtl/>
          <w:lang w:eastAsia="ar-SA"/>
        </w:rPr>
        <w:t>»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F41C00" w:rsidRPr="00F41C00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F41C00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54</w:t>
      </w:r>
      <w:r w:rsidR="00F41C00" w:rsidRPr="00F41C00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]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مع أنه أثبتها في مواضع أخرى، لكنه في هذا الموضع الأول لم يثبتها، مما ي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رجح أن الحذف منه، وقالوا: إن السبب في هذا الحذف، أن قوله: </w:t>
      </w:r>
      <w:r w:rsidR="00F41C00" w:rsidRPr="00DD4AD6">
        <w:rPr>
          <w:rFonts w:ascii="Simplified Arabic" w:eastAsia="Times New Roman" w:hAnsi="Simplified Arabic" w:cs="Simplified Arabic" w:hint="eastAsia"/>
          <w:noProof w:val="0"/>
          <w:color w:val="0000FF"/>
          <w:sz w:val="28"/>
          <w:szCs w:val="28"/>
          <w:rtl/>
          <w:lang w:eastAsia="ar-SA"/>
        </w:rPr>
        <w:t>«</w:t>
      </w:r>
      <w:r w:rsidR="00467447" w:rsidRPr="009F035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فمن كانت هجرته إلى الله ورسوله</w:t>
      </w:r>
      <w:r w:rsidR="00F41C00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،</w:t>
      </w:r>
      <w:r w:rsidR="00467447" w:rsidRPr="009F035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فهجرته إلى الله ورسوله</w:t>
      </w:r>
      <w:r w:rsidR="00F41C00" w:rsidRPr="00DD4AD6">
        <w:rPr>
          <w:rFonts w:ascii="Simplified Arabic" w:eastAsia="Times New Roman" w:hAnsi="Simplified Arabic" w:cs="Simplified Arabic" w:hint="eastAsia"/>
          <w:noProof w:val="0"/>
          <w:color w:val="0000FF"/>
          <w:sz w:val="28"/>
          <w:szCs w:val="28"/>
          <w:rtl/>
          <w:lang w:eastAsia="ar-SA"/>
        </w:rPr>
        <w:t>»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قد يُفهم منه: أن قصده ونيته خالصة لله -جل وعلا-، كأنه ي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زكي عمل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ه بهذا،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ويقول: "عملي </w:t>
      </w:r>
      <w:r w:rsidR="00F41C00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خالص لله -جل وعلا-، كمن كانت هجرته لله ورسوله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"،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وهذا ملحظ دقيق بعيد جد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ًّ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، فحذفها من هذا الموضع</w:t>
      </w:r>
      <w:r w:rsidR="00963830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؛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لئلا يُظن به بأنه ي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زكي عمله، وأثبت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ها في المواضع الأخرى. </w:t>
      </w:r>
    </w:p>
    <w:p w:rsidR="00467447" w:rsidRPr="00A825B4" w:rsidRDefault="00F41C00" w:rsidP="00F41C00">
      <w:pPr>
        <w:pStyle w:val="a7"/>
        <w:ind w:firstLine="463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/>
          <w:bCs w:val="0"/>
          <w:sz w:val="28"/>
          <w:szCs w:val="28"/>
          <w:rtl/>
        </w:rPr>
        <w:t>والمرجَّح كما قرر الشراح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 الحذف منه؛ لأنها ثابتة في مواضع أ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خر، وهي ثابتة عند الحُميدي الذي من طريقه روى البخاري هذ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 الحديث؛ فتعي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ن أن الحذف من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ه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. </w:t>
      </w:r>
    </w:p>
    <w:p w:rsidR="00467447" w:rsidRPr="00A825B4" w:rsidRDefault="00467447" w:rsidP="00F41C00">
      <w:pPr>
        <w:pStyle w:val="a7"/>
        <w:ind w:firstLine="463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يبقى أن الحذف من الحديث ما حكمه؟</w:t>
      </w:r>
    </w:p>
    <w:p w:rsidR="00F41C00" w:rsidRDefault="00467447" w:rsidP="00F41C00">
      <w:pPr>
        <w:pStyle w:val="a7"/>
        <w:ind w:firstLine="463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الإمام البخاري جرت عادته - رحمه الله – أنه يُقطِّعُ الأحاديث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ويقتصر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على الجمل التي يحتاج إليها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</w:t>
      </w:r>
      <w:r w:rsidR="00963830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قد يورد حديث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واحد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عشرين موضعًا، ويستنبط في كل موضع من الحديث ما يناسبه من الأحكام والآداب، وإذا كرره في المواضع كلها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بكامله فإنه ي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طو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ل بذلك الكتاب، ولا ي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عرف عن الإمام البخاري 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-رحمة الله عليه– في كتابه بطوله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وكثرة تكراره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963830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سبعة آلاف وأكثر من خمس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م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ئة حديث 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ما يصفو منها بدون تكرار إلا ألف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ن وخمس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م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ئة وحديث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ن</w:t>
      </w:r>
      <w:r w:rsidR="007048A8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7048A8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ومع هذا 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التكرار كل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ه لا ي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عرف أن الإمام البخاري كرر حديث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بسنده ومتنه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موضعين إلا نحو عشرين حديث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، من هذا الكم الكبير من الأحاديث</w:t>
      </w:r>
      <w:r w:rsidR="007048A8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فهو لا يكرر إلا بفائدة زائدة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467447" w:rsidRPr="00A825B4" w:rsidRDefault="00F41C00" w:rsidP="00F41C00">
      <w:pPr>
        <w:pStyle w:val="a7"/>
        <w:ind w:firstLine="463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فطريقته أنه 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يأتي إلى الحديث الواحد فيقط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عه، ويجعل في كل باب أو كتاب ما يناسبه من هذا الحديث، وهذا عند جمهور أهل العلم سائغ وجائز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 شريطة أ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ا يكون المذكور من الحديث يتوقف فهمه على المحذوف، يعني: لا يمكن فهمه إلا بالمحذوف، فلا يجوز حينئذٍ حذف</w:t>
      </w:r>
      <w:r w:rsidR="007048A8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شيء</w:t>
      </w:r>
      <w:r w:rsidR="00467447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منه. </w:t>
      </w:r>
    </w:p>
    <w:p w:rsidR="00F41C00" w:rsidRDefault="00467447" w:rsidP="00F41C00">
      <w:pPr>
        <w:pStyle w:val="a7"/>
        <w:ind w:firstLine="463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أما إذا كان الحديث جُمَل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7048A8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، كل جملة تستقل بحكم، وتستقل بمعنى، فلا مانع</w:t>
      </w:r>
      <w:r w:rsidR="007048A8"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حينئذ،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كما هو الشأن في الآية الواحدة، إذا كانت مركبة من جُمَل لا يتعلق بعضها ببعض، ولا يترتب فهم بعضها على بعض، فإنه حينئذٍ يجوز 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lastRenderedPageBreak/>
        <w:t>الاقتصار على موضع الشاهد منها، كما في قوله -جل وعلا-: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{إِنَّ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اللَّهَ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يَأْمُرُكُمْ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أَن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تُؤدُّواْ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الأَمَانَاتِ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إِلَى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أَهْلِهَا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وَإِذَا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حَكَمْتُم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بَيْنَ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النَّاسِ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أَن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تَحْكُمُواْ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بِالْعَدْلِ}</w:t>
      </w:r>
      <w:r w:rsidRP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[</w:t>
      </w:r>
      <w:r w:rsidR="007048A8" w:rsidRPr="00F41C00">
        <w:rPr>
          <w:rFonts w:ascii="Simplified Arabic" w:hAnsi="Simplified Arabic" w:cs="Simplified Arabic"/>
          <w:bCs w:val="0"/>
          <w:sz w:val="28"/>
          <w:szCs w:val="28"/>
          <w:rtl/>
        </w:rPr>
        <w:t>النساء: ٥٨</w:t>
      </w:r>
      <w:r w:rsidR="00F41C00" w:rsidRP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]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هل يلزم م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ن أراد أن يتحدث عن الأمانة أن يقول: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{وَإِذَا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حَكَمْتُم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بَيْنَ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النَّاسِ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أَن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تَحْكُمُواْ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بِالْعَدْلِ}</w:t>
      </w:r>
      <w:r w:rsidR="00F41C00">
        <w:rPr>
          <w:rFonts w:cs="DecoType Naskh" w:hint="cs"/>
          <w:bCs w:val="0"/>
          <w:sz w:val="36"/>
          <w:szCs w:val="36"/>
          <w:rtl/>
        </w:rPr>
        <w:t xml:space="preserve"> </w:t>
      </w:r>
      <w:r w:rsidRPr="00A825B4">
        <w:rPr>
          <w:rFonts w:ascii="Simplified Arabic" w:hAnsi="Simplified Arabic" w:cs="Simplified Arabic"/>
          <w:bCs w:val="0"/>
          <w:sz w:val="28"/>
          <w:szCs w:val="28"/>
          <w:rtl/>
        </w:rPr>
        <w:t>أو يقتصر على قوله:</w:t>
      </w:r>
      <w:r w:rsidR="00F41C00">
        <w:rPr>
          <w:rFonts w:cs="DecoType Naskh" w:hint="cs"/>
          <w:bCs w:val="0"/>
          <w:sz w:val="36"/>
          <w:szCs w:val="36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{إِنَّ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اللَّهَ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يَأْمُرُكُمْ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أَن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تُؤدُّواْ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الأَمَانَاتِ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إِلَى</w:t>
      </w:r>
      <w:r w:rsidR="00F41C00" w:rsidRPr="00F41C0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41C00" w:rsidRPr="00F41C0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أَهْلِهَا}</w:t>
      </w:r>
      <w:r w:rsidR="00F41C00" w:rsidRP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؟!</w:t>
      </w:r>
    </w:p>
    <w:p w:rsidR="00F41C00" w:rsidRDefault="00467447" w:rsidP="00F41C00">
      <w:pPr>
        <w:pStyle w:val="a7"/>
        <w:ind w:firstLine="463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41C00">
        <w:rPr>
          <w:rFonts w:ascii="Simplified Arabic" w:hAnsi="Simplified Arabic" w:cs="Simplified Arabic"/>
          <w:bCs w:val="0"/>
          <w:sz w:val="28"/>
          <w:szCs w:val="28"/>
          <w:rtl/>
        </w:rPr>
        <w:t>وم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F41C00">
        <w:rPr>
          <w:rFonts w:ascii="Simplified Arabic" w:hAnsi="Simplified Arabic" w:cs="Simplified Arabic"/>
          <w:bCs w:val="0"/>
          <w:sz w:val="28"/>
          <w:szCs w:val="28"/>
          <w:rtl/>
        </w:rPr>
        <w:t>ن يتحدث عن العدل، هل يلزمه أن يأتي بأول الآية وآخرها؟</w:t>
      </w:r>
      <w:r w:rsidR="00F41C00" w:rsidRP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!</w:t>
      </w:r>
    </w:p>
    <w:p w:rsidR="00E67D5A" w:rsidRDefault="00467447" w:rsidP="00F41C00">
      <w:pPr>
        <w:pStyle w:val="a7"/>
        <w:ind w:firstLine="463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F41C00">
        <w:rPr>
          <w:rFonts w:ascii="Simplified Arabic" w:hAnsi="Simplified Arabic" w:cs="Simplified Arabic"/>
          <w:bCs w:val="0"/>
          <w:sz w:val="28"/>
          <w:szCs w:val="28"/>
          <w:rtl/>
        </w:rPr>
        <w:t>يأتي بموضع الشاهد منها، وهذا أمر مقرر عند أهل العلم، ولا إشكال فيه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F41C0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بالشرط المعروف عندهم، </w:t>
      </w:r>
      <w:r w:rsidR="00506D6E" w:rsidRPr="00F41C00">
        <w:rPr>
          <w:rFonts w:ascii="Simplified Arabic" w:hAnsi="Simplified Arabic" w:cs="Simplified Arabic"/>
          <w:bCs w:val="0"/>
          <w:sz w:val="28"/>
          <w:szCs w:val="28"/>
          <w:rtl/>
        </w:rPr>
        <w:t>وهو أنه لا يحذف شيئ</w:t>
      </w:r>
      <w:r w:rsid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506D6E" w:rsidRPr="00F41C00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Pr="00F41C0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يترتب ويتوقف عليه فهم الحديث</w:t>
      </w:r>
      <w:r w:rsidR="00F41C00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F41C00" w:rsidRDefault="00F41C00" w:rsidP="00F41C00">
      <w:pPr>
        <w:pStyle w:val="a7"/>
        <w:ind w:firstLine="463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F41C00" w:rsidRPr="00F41C00" w:rsidRDefault="00F41C00" w:rsidP="00F41C00">
      <w:pPr>
        <w:pStyle w:val="a7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F41C0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F41C00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الأولى، 5/8/1431.</w:t>
      </w:r>
    </w:p>
    <w:p w:rsidR="00F41C00" w:rsidRPr="00F41C00" w:rsidRDefault="00F41C00" w:rsidP="00F41C00">
      <w:pPr>
        <w:pStyle w:val="a7"/>
        <w:ind w:firstLine="463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F41C00" w:rsidRPr="00F41C00" w:rsidSect="00D86825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pgSz w:w="11906" w:h="16838"/>
      <w:pgMar w:top="1440" w:right="902" w:bottom="1440" w:left="902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7394" w:rsidRDefault="001E7394" w:rsidP="00467447">
      <w:r>
        <w:separator/>
      </w:r>
    </w:p>
  </w:endnote>
  <w:endnote w:type="continuationSeparator" w:id="0">
    <w:p w:rsidR="001E7394" w:rsidRDefault="001E7394" w:rsidP="00467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E192E9-CCD3-433E-9E92-E659FE1F29C7}"/>
    <w:embedBold r:id="rId2" w:fontKey="{6694F4AB-CB9F-4521-8CD7-D22B56A3058E}"/>
    <w:embedBoldItalic r:id="rId3" w:fontKey="{E5782BAB-920F-45A7-9C8D-075D14DFF7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6734449-C8D6-419E-8187-2B4C66C0576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32045CE-E378-4761-8314-1040D455A74D}"/>
    <w:embedBold r:id="rId6" w:fontKey="{0B799C69-7EC8-4683-816C-83A29124378E}"/>
    <w:embedBoldItalic r:id="rId7" w:fontKey="{FED5A210-AF57-4C6E-8CAE-D4A6C9E339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EF3FAFF-124E-4DA3-B605-663DAE7A10D8}"/>
    <w:embedBoldItalic r:id="rId9" w:fontKey="{FB88658D-2812-46E3-8B0C-3FC9BC98162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0" w:fontKey="{4B52F9E0-7589-4D93-8E4A-A72883EA2281}"/>
    <w:embedBold r:id="rId11" w:fontKey="{5B639AF3-B1B2-4A6B-B826-D0BA80787B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2" w:fontKey="{81300E30-4F19-4E75-B09F-EBB90DF2C7E3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3" w:fontKey="{26BF9C64-252E-4006-9BD5-ED0CF3027D92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4" w:fontKey="{2A962979-7159-489D-8F20-F175133128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11F7BDF-A7FB-4A65-A427-F35CD3936F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825" w:rsidRDefault="007F43E1" w:rsidP="00D86825">
    <w:pPr>
      <w:pStyle w:val="a4"/>
      <w:framePr w:wrap="around" w:vAnchor="text" w:hAnchor="text" w:xAlign="center" w:y="1"/>
      <w:rPr>
        <w:rStyle w:val="a5"/>
      </w:rPr>
    </w:pPr>
    <w:r>
      <w:rPr>
        <w:rStyle w:val="a5"/>
        <w:rtl/>
      </w:rPr>
      <w:fldChar w:fldCharType="begin"/>
    </w:r>
    <w:r w:rsidR="00EB5AD7">
      <w:rPr>
        <w:rStyle w:val="a5"/>
      </w:rPr>
      <w:instrText xml:space="preserve">PAGE  </w:instrText>
    </w:r>
    <w:r>
      <w:rPr>
        <w:rStyle w:val="a5"/>
        <w:rtl/>
      </w:rPr>
      <w:fldChar w:fldCharType="separate"/>
    </w:r>
    <w:r w:rsidR="00EB5AD7">
      <w:rPr>
        <w:rStyle w:val="a5"/>
        <w:noProof/>
        <w:rtl/>
      </w:rPr>
      <w:t>6</w:t>
    </w:r>
    <w:r>
      <w:rPr>
        <w:rStyle w:val="a5"/>
        <w:rtl/>
      </w:rPr>
      <w:fldChar w:fldCharType="end"/>
    </w:r>
  </w:p>
  <w:p w:rsidR="00D86825" w:rsidRDefault="00D8682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825" w:rsidRPr="00795C5E" w:rsidRDefault="00D86825" w:rsidP="00D86825">
    <w:pPr>
      <w:pStyle w:val="a4"/>
      <w:framePr w:wrap="around" w:vAnchor="text" w:hAnchor="text" w:xAlign="center" w:y="1"/>
      <w:rPr>
        <w:rStyle w:val="a5"/>
        <w:rFonts w:ascii="Traditional Arabic" w:hAnsi="Traditional Arabic" w:cs="Traditional Arabic"/>
        <w:b/>
        <w:bCs/>
        <w:sz w:val="28"/>
        <w:szCs w:val="28"/>
      </w:rPr>
    </w:pPr>
  </w:p>
  <w:p w:rsidR="00D86825" w:rsidRPr="00685697" w:rsidRDefault="00EB5AD7" w:rsidP="00D86825">
    <w:pPr>
      <w:pStyle w:val="a4"/>
      <w:rPr>
        <w:rFonts w:eastAsia="SimSun" w:cs="Traditional Arabic"/>
        <w:b/>
        <w:bCs/>
        <w:noProof/>
        <w:sz w:val="22"/>
        <w:szCs w:val="22"/>
        <w:rtl/>
      </w:rPr>
    </w:pPr>
    <w:r>
      <w:rPr>
        <w:rFonts w:eastAsia="SimSun" w:cs="Traditional Arabic" w:hint="cs"/>
        <w:b/>
        <w:bCs/>
        <w:noProof/>
        <w:sz w:val="22"/>
        <w:szCs w:val="22"/>
        <w:rtl/>
      </w:rPr>
      <w:t xml:space="preserve">                                   </w:t>
    </w:r>
    <w:r w:rsidRPr="00685697">
      <w:rPr>
        <w:rFonts w:eastAsia="SimSun" w:cs="Traditional Arabic" w:hint="cs"/>
        <w:b/>
        <w:bCs/>
        <w:noProof/>
        <w:sz w:val="22"/>
        <w:szCs w:val="22"/>
        <w:rtl/>
      </w:rPr>
      <w:t xml:space="preserve">                                                       </w:t>
    </w:r>
    <w:r>
      <w:rPr>
        <w:rFonts w:eastAsia="SimSun" w:cs="Traditional Arabic" w:hint="cs"/>
        <w:b/>
        <w:bCs/>
        <w:noProof/>
        <w:sz w:val="22"/>
        <w:szCs w:val="22"/>
        <w:rtl/>
      </w:rPr>
      <w:t xml:space="preserve">     </w:t>
    </w:r>
    <w:r w:rsidRPr="00685697">
      <w:rPr>
        <w:rFonts w:eastAsia="SimSun" w:cs="Traditional Arabic" w:hint="cs"/>
        <w:b/>
        <w:bCs/>
        <w:noProof/>
        <w:sz w:val="22"/>
        <w:szCs w:val="22"/>
        <w:rtl/>
      </w:rPr>
      <w:t xml:space="preserve">                                                         </w:t>
    </w:r>
    <w:r>
      <w:rPr>
        <w:rFonts w:eastAsia="SimSun" w:cs="Traditional Arabic" w:hint="cs"/>
        <w:b/>
        <w:bCs/>
        <w:noProof/>
        <w:sz w:val="22"/>
        <w:szCs w:val="22"/>
        <w:rtl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7394" w:rsidRDefault="001E7394" w:rsidP="00467447">
      <w:r>
        <w:separator/>
      </w:r>
    </w:p>
  </w:footnote>
  <w:footnote w:type="continuationSeparator" w:id="0">
    <w:p w:rsidR="001E7394" w:rsidRDefault="001E7394" w:rsidP="00467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825" w:rsidRDefault="001E7394" w:rsidP="00D86825">
    <w:pPr>
      <w:pStyle w:val="a6"/>
    </w:pPr>
    <w:r>
      <w:rPr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94.85pt;margin-top:-23.05pt;width:45pt;height:36pt;z-index:251663360" filled="f" stroked="f">
          <v:textbox style="mso-next-textbox:#_x0000_s2052">
            <w:txbxContent>
              <w:p w:rsidR="00D86825" w:rsidRDefault="007F43E1" w:rsidP="00D86825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begin"/>
                </w:r>
                <w:r w:rsidR="00EB5AD7">
                  <w:rPr>
                    <w:rStyle w:val="a5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EB5AD7">
                  <w:rPr>
                    <w:rStyle w:val="a5"/>
                    <w:rFonts w:cs="Traditional Arabic"/>
                    <w:noProof/>
                    <w:sz w:val="26"/>
                    <w:szCs w:val="26"/>
                    <w:rtl/>
                  </w:rPr>
                  <w:t>6</w: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shape id="_x0000_s2049" type="#_x0000_t202" style="position:absolute;left:0;text-align:left;margin-left:277.45pt;margin-top:-22.3pt;width:99pt;height:45pt;z-index:251660288" stroked="f">
          <v:textbox style="mso-next-textbox:#_x0000_s2049">
            <w:txbxContent>
              <w:p w:rsidR="00D86825" w:rsidRDefault="00EB5AD7" w:rsidP="00D86825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D86825" w:rsidRDefault="007F43E1" w:rsidP="00D86825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</w:rPr>
                  <w:fldChar w:fldCharType="begin"/>
                </w:r>
                <w:r w:rsidR="00EB5AD7">
                  <w:rPr>
                    <w:rFonts w:cs="Traditional Arabic"/>
                  </w:rPr>
                  <w:instrText xml:space="preserve"> PAGE </w:instrText>
                </w:r>
                <w:r>
                  <w:rPr>
                    <w:rFonts w:cs="Traditional Arabic"/>
                  </w:rPr>
                  <w:fldChar w:fldCharType="separate"/>
                </w:r>
                <w:r w:rsidR="00EB5AD7">
                  <w:rPr>
                    <w:rFonts w:cs="Traditional Arabic"/>
                    <w:noProof/>
                    <w:rtl/>
                  </w:rPr>
                  <w:t>6</w:t>
                </w:r>
                <w:r>
                  <w:rPr>
                    <w:rFonts w:cs="Traditional Arabic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lang w:val="ar-SA" w:eastAsia="ar-SA"/>
      </w:rPr>
      <w:pict>
        <v:shape id="_x0000_s2051" type="#_x0000_t202" style="position:absolute;left:0;text-align:left;margin-left:14.95pt;margin-top:-14.9pt;width:78.75pt;height:27pt;z-index:251662336" stroked="f">
          <v:textbox style="mso-next-textbox:#_x0000_s2051" inset="0,,1mm">
            <w:txbxContent>
              <w:p w:rsidR="00D86825" w:rsidRPr="0004247D" w:rsidRDefault="00EB5AD7" w:rsidP="00D86825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0" style="position:absolute;left:0;text-align:left;z-index:251661312" from="-1.4pt,-.7pt" to="300.85pt,.85pt" strokeweight="5pt">
          <v:stroke linestyle="thickThin"/>
          <w10:wrap anchorx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825" w:rsidRDefault="001E7394" w:rsidP="00D86825">
    <w:pPr>
      <w:pStyle w:val="a6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262.2pt;margin-top:30.4pt;width:74.5pt;height:27pt;z-index:251667456" stroked="f">
          <v:textbox style="mso-next-textbox:#_x0000_s2056" inset="0,0,0,0">
            <w:txbxContent>
              <w:p w:rsidR="00D86825" w:rsidRPr="00467447" w:rsidRDefault="00D86825" w:rsidP="00467447">
                <w:pPr>
                  <w:rPr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D86825" w:rsidRDefault="007F43E1" w:rsidP="00D86825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5"/>
                    <w:rFonts w:cs="Traditional Arabic"/>
                    <w:sz w:val="32"/>
                  </w:rPr>
                  <w:fldChar w:fldCharType="begin"/>
                </w:r>
                <w:r w:rsidR="00EB5AD7">
                  <w:rPr>
                    <w:rStyle w:val="a5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5"/>
                    <w:rFonts w:cs="Traditional Arabic"/>
                    <w:sz w:val="32"/>
                  </w:rPr>
                  <w:fldChar w:fldCharType="separate"/>
                </w:r>
                <w:r w:rsidR="00DE52CE">
                  <w:rPr>
                    <w:rStyle w:val="a5"/>
                    <w:rFonts w:cs="Traditional Arabic"/>
                    <w:noProof/>
                    <w:sz w:val="32"/>
                    <w:rtl/>
                  </w:rPr>
                  <w:t>2</w:t>
                </w:r>
                <w:r>
                  <w:rPr>
                    <w:rStyle w:val="a5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D86825" w:rsidRPr="00D27CE5" w:rsidRDefault="00D86825" w:rsidP="00D86825">
    <w:pPr>
      <w:pStyle w:val="a6"/>
      <w:jc w:val="center"/>
      <w:rPr>
        <w:rFonts w:cs="Arial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7447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5FCA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877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B80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AAE"/>
    <w:rsid w:val="001E2EBC"/>
    <w:rsid w:val="001E3CD6"/>
    <w:rsid w:val="001E4238"/>
    <w:rsid w:val="001E42C7"/>
    <w:rsid w:val="001E477F"/>
    <w:rsid w:val="001E495B"/>
    <w:rsid w:val="001E7201"/>
    <w:rsid w:val="001E7394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9C3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447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6D6E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2F9C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48A8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0EB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3E1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830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004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0352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5B4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4E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2A13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825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4A50"/>
    <w:rsid w:val="00DE507D"/>
    <w:rsid w:val="00DE52CE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AD7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C00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4F679080"/>
  <w15:docId w15:val="{10B5E969-AD60-4E74-9CEC-503056FA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7447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46744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67447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footer"/>
    <w:basedOn w:val="a"/>
    <w:link w:val="Char0"/>
    <w:rsid w:val="00467447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rsid w:val="00467447"/>
    <w:rPr>
      <w:rFonts w:eastAsia="Times New Roman" w:cs="Times New Roman"/>
      <w:szCs w:val="24"/>
    </w:rPr>
  </w:style>
  <w:style w:type="character" w:styleId="a5">
    <w:name w:val="page number"/>
    <w:basedOn w:val="a0"/>
    <w:rsid w:val="00467447"/>
  </w:style>
  <w:style w:type="paragraph" w:styleId="a6">
    <w:name w:val="header"/>
    <w:basedOn w:val="a"/>
    <w:link w:val="Char1"/>
    <w:rsid w:val="00467447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rsid w:val="00467447"/>
    <w:rPr>
      <w:rFonts w:eastAsia="Times New Roman" w:cs="Times New Roman"/>
      <w:szCs w:val="24"/>
    </w:rPr>
  </w:style>
  <w:style w:type="paragraph" w:styleId="a7">
    <w:name w:val="Body Text Indent"/>
    <w:basedOn w:val="a"/>
    <w:link w:val="Char2"/>
    <w:rsid w:val="0046744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2">
    <w:name w:val="نص أساسي بمسافة بادئة Char"/>
    <w:basedOn w:val="a0"/>
    <w:link w:val="a7"/>
    <w:rsid w:val="00467447"/>
    <w:rPr>
      <w:rFonts w:eastAsia="SimSun"/>
      <w:b/>
      <w:bCs/>
      <w:noProof/>
      <w:sz w:val="32"/>
      <w:szCs w:val="32"/>
    </w:rPr>
  </w:style>
  <w:style w:type="paragraph" w:styleId="a8">
    <w:name w:val="footnote text"/>
    <w:basedOn w:val="a"/>
    <w:link w:val="Char3"/>
    <w:semiHidden/>
    <w:rsid w:val="00467447"/>
    <w:rPr>
      <w:rFonts w:eastAsia="SimSun" w:cs="Traditional Arabic"/>
      <w:noProof/>
      <w:sz w:val="20"/>
      <w:szCs w:val="20"/>
    </w:rPr>
  </w:style>
  <w:style w:type="character" w:customStyle="1" w:styleId="Char3">
    <w:name w:val="نص حاشية سفلية Char"/>
    <w:basedOn w:val="a0"/>
    <w:link w:val="a8"/>
    <w:semiHidden/>
    <w:rsid w:val="00467447"/>
    <w:rPr>
      <w:rFonts w:eastAsia="SimSun"/>
      <w:noProof/>
      <w:sz w:val="20"/>
      <w:szCs w:val="20"/>
    </w:rPr>
  </w:style>
  <w:style w:type="character" w:styleId="a9">
    <w:name w:val="footnote reference"/>
    <w:semiHidden/>
    <w:rsid w:val="004674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A318F-7A7B-4ACD-9E2A-C8B67A26C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462</Words>
  <Characters>2634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9</cp:revision>
  <cp:lastPrinted>2014-12-05T03:54:00Z</cp:lastPrinted>
  <dcterms:created xsi:type="dcterms:W3CDTF">2012-11-20T11:42:00Z</dcterms:created>
  <dcterms:modified xsi:type="dcterms:W3CDTF">2019-06-13T10:49:00Z</dcterms:modified>
</cp:coreProperties>
</file>