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CB2" w:rsidRPr="00E76E83" w:rsidRDefault="00D424BB" w:rsidP="00E76E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07922051"/>
      <w:r w:rsidRPr="00D424BB">
        <w:rPr>
          <w:rFonts w:ascii="Simplified Arabic" w:hAnsi="Simplified Arabic"/>
          <w:color w:val="0000FF"/>
          <w:sz w:val="28"/>
          <w:szCs w:val="28"/>
          <w:rtl/>
        </w:rPr>
        <w:t>الهدي والأضحية والعقيقة</w:t>
      </w:r>
      <w:bookmarkStart w:id="1" w:name="_GoBack"/>
      <w:bookmarkEnd w:id="1"/>
    </w:p>
    <w:p w:rsidR="00E76E83" w:rsidRPr="00E76E83" w:rsidRDefault="00E76E83" w:rsidP="00E76E8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E76E83">
        <w:rPr>
          <w:rFonts w:ascii="Simplified Arabic" w:hAnsi="Simplified Arabic" w:hint="cs"/>
          <w:color w:val="0000FF"/>
          <w:sz w:val="28"/>
          <w:szCs w:val="28"/>
          <w:rtl/>
        </w:rPr>
        <w:t>أخذ المتمتع من شعره بعد العمرة وقد نوى الأضحية</w:t>
      </w:r>
    </w:p>
    <w:bookmarkEnd w:id="0"/>
    <w:p w:rsidR="00E76E83" w:rsidRPr="0050593D" w:rsidRDefault="00E76E83" w:rsidP="00AC4B22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4B22" w:rsidRPr="0050593D" w:rsidRDefault="00236CB2" w:rsidP="00E76E8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059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AC4B22" w:rsidRPr="005059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من أراد أن ي</w:t>
      </w:r>
      <w:r w:rsidR="00E76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AC4B22" w:rsidRPr="005059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ضحي وهو متمتع، فهل له أن يأخذ من شَعره شيئًا، أم أنه لا يتمتع ولا يُشرَع </w:t>
      </w:r>
      <w:r w:rsidR="00E76E8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له</w:t>
      </w:r>
      <w:r w:rsidR="00AC4B22" w:rsidRPr="0050593D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أن يتمتع، بل يكون الأفضل في حقه الإفراد أو القِران؟ </w:t>
      </w:r>
    </w:p>
    <w:p w:rsidR="00E76E83" w:rsidRDefault="00236CB2" w:rsidP="00E76E8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593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AC4B22" w:rsidRPr="00E76E8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من أراد أن يُضحي فقد جاء النهي بالنسبة له أن يأخذ من شَعره أو بشرته شيئًا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لكن هذا النهي ع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>ورض بوجوب الحلق أو التقصير بالنسبة للعمرة، وح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 xml:space="preserve">ينئذٍ يجب عليه أن يأخذ من شعره 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>إما تقصيرًا أو حلقًا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-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 xml:space="preserve"> إذا كان الوقت فيه فُسحة وسَعة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إلى أن يخرج الشَّعر من أجل حلقه في الحج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وإلا فالتقصير في حقه أفضل ولا م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عارضة بينهما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؛ لأن المتمتِّع الذي يريد أن يعتمر في 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عشر ذي الحجة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>، وقد عزم على الأضحية لا يدخل في النهي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، بل هو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مستثنى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ً</w:t>
      </w:r>
      <w:r w:rsidR="00AC4B2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ومخصوص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:rsidR="00AC4B22" w:rsidRPr="0050593D" w:rsidRDefault="00AC4B22" w:rsidP="00E76E83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ويبقى 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مسألة</w:t>
      </w:r>
      <w:r w:rsidR="0050593D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وهي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ن أراد أن 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يهد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ي -سواء كان متمتعًا أو قارنًا- هل يستحب في حقه الأضحية أو لا؟</w:t>
      </w:r>
    </w:p>
    <w:p w:rsidR="00AC4B22" w:rsidRPr="0050593D" w:rsidRDefault="00AC4B22" w:rsidP="00E76E83">
      <w:pPr>
        <w:widowControl w:val="0"/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ِ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ن أهل العلم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من 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يرى أن الهَدي يكفي عن الأضحية، وأن النبي -عليه الصلاة والسلام- لما حجّ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لم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ي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ض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ح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ِّ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في بلده، لكن نصوص الأضحية مستقلة والحث عليه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ا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مستقل، وما جاء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>م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ما يتعلق بالهدي في الحج هذا أمر ثان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ٍ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لا ي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عارض ذاك، وقد ثبت عنه -عليه ال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صلاة والسلام- أنه ضحّ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ى عن نسائه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البقر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E76E83" w:rsidRPr="00E76E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[مسلم: </w:t>
      </w:r>
      <w:r w:rsidR="00E76E83" w:rsidRPr="00E76E83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1211</w:t>
      </w:r>
      <w:r w:rsidR="00E76E83" w:rsidRPr="00E76E83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E76E83"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من أهل العلم من يقول: إن المراد بالتضحية هنا هي الهدي، وأنه أهدى عنهن البقر، المقصود أن النصوص الواردة في الأضحية لا منافاة 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بينها وبين </w:t>
      </w:r>
      <w:r w:rsidR="00236CB2" w:rsidRPr="00E76E83">
        <w:rPr>
          <w:rFonts w:ascii="Simplified Arabic" w:hAnsi="Simplified Arabic" w:cs="Simplified Arabic"/>
          <w:b/>
          <w:sz w:val="28"/>
          <w:szCs w:val="28"/>
          <w:rtl/>
        </w:rPr>
        <w:t>ما</w:t>
      </w:r>
      <w:r w:rsidR="00236CB2"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>جاء في الهدي</w:t>
      </w:r>
      <w:r w:rsidR="00E76E83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Pr="0050593D">
        <w:rPr>
          <w:rFonts w:ascii="Simplified Arabic" w:hAnsi="Simplified Arabic" w:cs="Simplified Arabic"/>
          <w:b/>
          <w:sz w:val="28"/>
          <w:szCs w:val="28"/>
          <w:rtl/>
        </w:rPr>
        <w:t xml:space="preserve"> فهذا قربة وهذا قربة، ولا يمنع أن يجتمعا.</w:t>
      </w:r>
    </w:p>
    <w:p w:rsidR="00E76E83" w:rsidRPr="00E76E83" w:rsidRDefault="00E76E83" w:rsidP="00E76E8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E76E83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العشرون، 28/12/1431.</w:t>
      </w:r>
    </w:p>
    <w:p w:rsidR="00AC4B22" w:rsidRPr="0050593D" w:rsidRDefault="00AC4B22" w:rsidP="00E76E8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AC4B22" w:rsidRPr="0050593D" w:rsidRDefault="00AC4B22" w:rsidP="00E76E83">
      <w:pPr>
        <w:widowControl w:val="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:rsidR="00E67D5A" w:rsidRPr="0050593D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50593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80A73" w:rsidRDefault="00E80A73" w:rsidP="00AC4B22">
      <w:r>
        <w:separator/>
      </w:r>
    </w:p>
  </w:endnote>
  <w:endnote w:type="continuationSeparator" w:id="0">
    <w:p w:rsidR="00E80A73" w:rsidRDefault="00E80A73" w:rsidP="00AC4B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6A6450F-55B3-4226-8C4E-183B45FC6DD6}"/>
    <w:embedBold r:id="rId2" w:fontKey="{EBD9FD73-4904-4C32-BE40-596C71F615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F44D7C3-8FDC-465A-89E1-AC77C0BF1EE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0653B3D-0F6F-446B-92D5-C3A97DB806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0BFDB237-1C03-4D38-AF72-D88A0B54717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0ADF47B-6A4B-4DE4-8C90-C28DBC93AFC0}"/>
    <w:embedBold r:id="rId7" w:fontKey="{9FDE11C8-164C-4C30-AE7A-58D8D1F6DB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52F0475E-C8A1-46D6-B5EC-E59121E8674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07B0DFC-43E0-4832-A237-56E8539F00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80A73" w:rsidRDefault="00E80A73" w:rsidP="00AC4B22">
      <w:r>
        <w:separator/>
      </w:r>
    </w:p>
  </w:footnote>
  <w:footnote w:type="continuationSeparator" w:id="0">
    <w:p w:rsidR="00E80A73" w:rsidRDefault="00E80A73" w:rsidP="00AC4B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C4B22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6CB2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6C15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93D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63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49F5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4B2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0A76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24BB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247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6E83"/>
    <w:rsid w:val="00E7715B"/>
    <w:rsid w:val="00E77D32"/>
    <w:rsid w:val="00E80A73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510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38E31AD-77AE-4B9E-BAF5-88B731342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C4B22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AC4B22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C4B22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C4B22"/>
  </w:style>
  <w:style w:type="character" w:customStyle="1" w:styleId="Char0">
    <w:name w:val="نص حاشية سفلية Char"/>
    <w:basedOn w:val="a0"/>
    <w:link w:val="a4"/>
    <w:semiHidden/>
    <w:rsid w:val="00AC4B22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C4B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741D54-1520-4A0A-A47C-DA872E419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192</Words>
  <Characters>1097</Characters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2014-12-07T15:36:00Z</cp:lastPrinted>
  <dcterms:created xsi:type="dcterms:W3CDTF">2012-12-03T06:13:00Z</dcterms:created>
  <dcterms:modified xsi:type="dcterms:W3CDTF">2019-06-17T07:59:00Z</dcterms:modified>
</cp:coreProperties>
</file>