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42BB" w:rsidRPr="00DC4228" w:rsidRDefault="003442BB" w:rsidP="00DC42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C4228">
        <w:rPr>
          <w:rFonts w:ascii="Simplified Arabic" w:hAnsi="Simplified Arabic"/>
          <w:color w:val="0000FF"/>
          <w:sz w:val="28"/>
          <w:szCs w:val="28"/>
          <w:rtl/>
        </w:rPr>
        <w:t>أصول</w:t>
      </w:r>
      <w:r w:rsidR="00A672CA" w:rsidRPr="00DC4228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الفقه</w:t>
      </w:r>
      <w:bookmarkStart w:id="0" w:name="_GoBack"/>
      <w:bookmarkEnd w:id="0"/>
    </w:p>
    <w:p w:rsidR="00A672CA" w:rsidRPr="00DC4228" w:rsidRDefault="00A672CA" w:rsidP="00DC42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C4228">
        <w:rPr>
          <w:rFonts w:ascii="Simplified Arabic" w:hAnsi="Simplified Arabic" w:hint="cs"/>
          <w:color w:val="0000FF"/>
          <w:sz w:val="28"/>
          <w:szCs w:val="28"/>
          <w:rtl/>
        </w:rPr>
        <w:t xml:space="preserve">كيفية </w:t>
      </w:r>
      <w:r w:rsidRPr="00DC4228">
        <w:rPr>
          <w:rFonts w:ascii="Simplified Arabic" w:hAnsi="Simplified Arabic"/>
          <w:color w:val="0000FF"/>
          <w:sz w:val="28"/>
          <w:szCs w:val="28"/>
          <w:rtl/>
        </w:rPr>
        <w:t>النظر في المسائل الخلافية</w:t>
      </w:r>
      <w:r w:rsidRPr="00DC4228">
        <w:rPr>
          <w:rFonts w:ascii="Simplified Arabic" w:hAnsi="Simplified Arabic" w:hint="cs"/>
          <w:color w:val="0000FF"/>
          <w:sz w:val="28"/>
          <w:szCs w:val="28"/>
          <w:rtl/>
        </w:rPr>
        <w:t xml:space="preserve"> والترجيح فيها</w:t>
      </w:r>
    </w:p>
    <w:p w:rsidR="007669C0" w:rsidRPr="00DC4228" w:rsidRDefault="007669C0" w:rsidP="00DC422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442BB" w:rsidRPr="00F0100D" w:rsidRDefault="003442BB" w:rsidP="00F0100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0100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50517" w:rsidRPr="00F0100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50517" w:rsidRPr="00F0100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كيف يكون النظر في المسائل الشرعية الخلافية</w:t>
      </w:r>
      <w:r w:rsidR="00A672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50517" w:rsidRPr="00F0100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وما هو السبيل القويم للخلوص إلى القول الراجح</w:t>
      </w:r>
      <w:r w:rsidR="00A672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50517" w:rsidRPr="00F0100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ومتى ي</w:t>
      </w:r>
      <w:r w:rsidR="00A672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50517" w:rsidRPr="00F0100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صار إلى القول المرجوح؟</w:t>
      </w:r>
    </w:p>
    <w:p w:rsidR="003442BB" w:rsidRPr="00F0100D" w:rsidRDefault="003442BB" w:rsidP="003442B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0100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A50517" w:rsidRPr="00DC422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A50517" w:rsidRPr="00F0100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50517" w:rsidRPr="00F0100D">
        <w:rPr>
          <w:rFonts w:ascii="Simplified Arabic" w:hAnsi="Simplified Arabic" w:cs="Simplified Arabic"/>
          <w:sz w:val="28"/>
          <w:szCs w:val="28"/>
          <w:rtl/>
        </w:rPr>
        <w:t>يقول</w:t>
      </w:r>
      <w:r w:rsidR="00A672C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50517" w:rsidRPr="00F0100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672CA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A50517" w:rsidRPr="00F0100D">
        <w:rPr>
          <w:rFonts w:ascii="Simplified Arabic" w:hAnsi="Simplified Arabic" w:cs="Simplified Arabic"/>
          <w:sz w:val="28"/>
          <w:szCs w:val="28"/>
          <w:rtl/>
        </w:rPr>
        <w:t>كيف يكون النظر إلى المسائل الشرعية الخلافية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؟</w:t>
      </w:r>
      <w:r w:rsidR="00A672CA">
        <w:rPr>
          <w:rFonts w:ascii="Simplified Arabic" w:hAnsi="Simplified Arabic" w:cs="Simplified Arabic" w:hint="cs"/>
          <w:sz w:val="28"/>
          <w:szCs w:val="28"/>
          <w:rtl/>
        </w:rPr>
        <w:t>).</w:t>
      </w:r>
    </w:p>
    <w:p w:rsidR="003442BB" w:rsidRPr="00F0100D" w:rsidRDefault="00A50517" w:rsidP="00DC4228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أولًا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ي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نظر في هذه المسألة وتُتصوَّر المسألة بدقة</w:t>
      </w:r>
      <w:r w:rsidR="003442BB" w:rsidRPr="00F0100D">
        <w:rPr>
          <w:rFonts w:ascii="Simplified Arabic" w:hAnsi="Simplified Arabic" w:cs="Simplified Arabic"/>
          <w:sz w:val="28"/>
          <w:szCs w:val="28"/>
          <w:rtl/>
        </w:rPr>
        <w:t>؛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لأن الحكم على الشيء فرع عن تصوره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ثم ي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نظر في أقوال العلماء في هذه المسألة</w:t>
      </w:r>
      <w:r w:rsidR="00A672CA">
        <w:rPr>
          <w:rFonts w:ascii="Simplified Arabic" w:hAnsi="Simplified Arabic" w:cs="Simplified Arabic" w:hint="cs"/>
          <w:sz w:val="28"/>
          <w:szCs w:val="28"/>
          <w:rtl/>
        </w:rPr>
        <w:t xml:space="preserve"> بعد حصر أقوالهم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ثم ي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نظر في أدلة كل قول منها</w:t>
      </w:r>
      <w:r w:rsidR="003442BB" w:rsidRPr="00F0100D">
        <w:rPr>
          <w:rFonts w:ascii="Simplified Arabic" w:hAnsi="Simplified Arabic" w:cs="Simplified Arabic"/>
          <w:sz w:val="28"/>
          <w:szCs w:val="28"/>
          <w:rtl/>
        </w:rPr>
        <w:t>،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وي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وازن بين هذه الأدلة بعد النظر في ثبوتها على طريقة أهل العلم في قواعد التعارض والترجيح</w:t>
      </w:r>
      <w:r w:rsidR="003442BB" w:rsidRPr="00F0100D">
        <w:rPr>
          <w:rFonts w:ascii="Simplified Arabic" w:hAnsi="Simplified Arabic" w:cs="Simplified Arabic"/>
          <w:sz w:val="28"/>
          <w:szCs w:val="28"/>
          <w:rtl/>
        </w:rPr>
        <w:t>،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في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حكم للقول الراجح بسبب قوة دليله بأنه هو الراجح المعمول به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وما عداه يكون مرجوحًا لا ي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عمل به في مقابل الراجح. </w:t>
      </w:r>
    </w:p>
    <w:p w:rsidR="00A50517" w:rsidRPr="00F0100D" w:rsidRDefault="00A50517" w:rsidP="00DC4228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يقول: 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ومتى ي</w:t>
      </w:r>
      <w:r w:rsidR="00A672C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صار إلى القول المرجوح؟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يقول أهل العلم: قد يُحتاج أحيانًا إلى القول ال</w:t>
      </w:r>
      <w:r w:rsidR="003442BB" w:rsidRPr="00F0100D">
        <w:rPr>
          <w:rFonts w:ascii="Simplified Arabic" w:hAnsi="Simplified Arabic" w:cs="Simplified Arabic"/>
          <w:sz w:val="28"/>
          <w:szCs w:val="28"/>
          <w:rtl/>
        </w:rPr>
        <w:t>م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رجوح بسبب ظرف</w:t>
      </w:r>
      <w:r w:rsidR="00A672CA">
        <w:rPr>
          <w:rFonts w:ascii="Simplified Arabic" w:hAnsi="Simplified Arabic" w:cs="Simplified Arabic" w:hint="cs"/>
          <w:sz w:val="28"/>
          <w:szCs w:val="28"/>
          <w:rtl/>
        </w:rPr>
        <w:t xml:space="preserve"> معين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C21CB">
        <w:rPr>
          <w:rFonts w:ascii="Simplified Arabic" w:hAnsi="Simplified Arabic" w:cs="Simplified Arabic" w:hint="cs"/>
          <w:sz w:val="28"/>
          <w:szCs w:val="28"/>
          <w:rtl/>
        </w:rPr>
        <w:t xml:space="preserve">بأن 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احت</w:t>
      </w:r>
      <w:r w:rsidR="005C21CB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يج إليه في مكان معين أو زمن معين تبعًا للمصالح المترتبة عليه أو المفاسد المترتبة على مقابله</w:t>
      </w:r>
      <w:r w:rsidR="003442BB" w:rsidRPr="00F0100D">
        <w:rPr>
          <w:rFonts w:ascii="Simplified Arabic" w:hAnsi="Simplified Arabic" w:cs="Simplified Arabic"/>
          <w:sz w:val="28"/>
          <w:szCs w:val="28"/>
          <w:rtl/>
        </w:rPr>
        <w:t>،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فأهل العلم أحيانًا يترجح لهم قول بدليله لكن قد يكون العمل بهذا القول الراجح في</w:t>
      </w:r>
      <w:r w:rsidR="007669C0">
        <w:rPr>
          <w:rFonts w:ascii="Simplified Arabic" w:hAnsi="Simplified Arabic" w:cs="Simplified Arabic"/>
          <w:sz w:val="28"/>
          <w:szCs w:val="28"/>
          <w:rtl/>
        </w:rPr>
        <w:t xml:space="preserve"> هذا الظرف المعين في هذا المكان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في هذا الزمان بعينه غير مناسب</w:t>
      </w:r>
      <w:r w:rsidR="003442BB" w:rsidRPr="00F0100D">
        <w:rPr>
          <w:rFonts w:ascii="Simplified Arabic" w:hAnsi="Simplified Arabic" w:cs="Simplified Arabic"/>
          <w:sz w:val="28"/>
          <w:szCs w:val="28"/>
          <w:rtl/>
        </w:rPr>
        <w:t>،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ولا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شك أن مراعاة المصالح والمفاسد مما جاءت به الشريعة</w:t>
      </w:r>
      <w:r w:rsidR="003442BB" w:rsidRPr="00F0100D">
        <w:rPr>
          <w:rFonts w:ascii="Simplified Arabic" w:hAnsi="Simplified Arabic" w:cs="Simplified Arabic"/>
          <w:sz w:val="28"/>
          <w:szCs w:val="28"/>
          <w:rtl/>
        </w:rPr>
        <w:t>،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وحينئذٍ ي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عاد النظر في الترجيح</w:t>
      </w:r>
      <w:r w:rsidR="003442BB" w:rsidRPr="00F0100D">
        <w:rPr>
          <w:rFonts w:ascii="Simplified Arabic" w:hAnsi="Simplified Arabic" w:cs="Simplified Arabic"/>
          <w:sz w:val="28"/>
          <w:szCs w:val="28"/>
          <w:rtl/>
        </w:rPr>
        <w:t>،</w:t>
      </w:r>
      <w:r w:rsidR="007669C0">
        <w:rPr>
          <w:rFonts w:ascii="Simplified Arabic" w:hAnsi="Simplified Arabic" w:cs="Simplified Arabic"/>
          <w:sz w:val="28"/>
          <w:szCs w:val="28"/>
          <w:rtl/>
        </w:rPr>
        <w:t xml:space="preserve"> فقد يكون المرجوح في زمن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راجح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في زمن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آخر، هذا ما أشار إليه بعض أهل العلم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ولا يكون مرجوحًا إذا اقتضى النظر العمل لهذه الأس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اب وهذه المبررات، ولا يعني هذا أن من لا ي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عجبه قول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من أقوال أهل العلم وهو في الحقيقة راجح على غيره من الأقوال أنّ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ه ي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طب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ق مثل هذا الكلام عليه</w:t>
      </w:r>
      <w:r w:rsidR="003442BB" w:rsidRPr="00F0100D">
        <w:rPr>
          <w:rFonts w:ascii="Simplified Arabic" w:hAnsi="Simplified Arabic" w:cs="Simplified Arabic"/>
          <w:sz w:val="28"/>
          <w:szCs w:val="28"/>
          <w:rtl/>
        </w:rPr>
        <w:t>.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ويبقى أنّ</w:t>
      </w:r>
      <w:r w:rsidR="007669C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الأصل هو العمل بالراجح وترك المرجوح</w:t>
      </w:r>
      <w:r w:rsidR="003442BB" w:rsidRPr="00F0100D">
        <w:rPr>
          <w:rFonts w:ascii="Simplified Arabic" w:hAnsi="Simplified Arabic" w:cs="Simplified Arabic"/>
          <w:sz w:val="28"/>
          <w:szCs w:val="28"/>
          <w:rtl/>
        </w:rPr>
        <w:t>،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وعلى نطاق</w:t>
      </w:r>
      <w:r w:rsidR="00A672CA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ضيق</w:t>
      </w:r>
      <w:r w:rsidR="00A672CA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جدً</w:t>
      </w:r>
      <w:r w:rsidR="00A672CA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ا كما ذكر بعض أهل العلم أنه قد يصار إلى القول المرجوح إذا ترتبت عليه المصالح أو ترتب على غيره مفاسد ولو بحسب النظر</w:t>
      </w:r>
      <w:r w:rsidR="009C627D" w:rsidRPr="00F0100D">
        <w:rPr>
          <w:rFonts w:ascii="Simplified Arabic" w:hAnsi="Simplified Arabic" w:cs="Simplified Arabic"/>
          <w:sz w:val="28"/>
          <w:szCs w:val="28"/>
          <w:rtl/>
        </w:rPr>
        <w:t>،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وقد يختلف اجتهاد المجتهد لا</w:t>
      </w:r>
      <w:r w:rsidR="00A672C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سيما إذا لم يكن في المسألة دليل ونص صحيح صريح</w:t>
      </w:r>
      <w:r w:rsidR="009C627D" w:rsidRPr="00F0100D">
        <w:rPr>
          <w:rFonts w:ascii="Simplified Arabic" w:hAnsi="Simplified Arabic" w:cs="Simplified Arabic"/>
          <w:sz w:val="28"/>
          <w:szCs w:val="28"/>
          <w:rtl/>
        </w:rPr>
        <w:t>،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بل كان مبنى الترجيح على الاجتهاد المحض</w:t>
      </w:r>
      <w:r w:rsidR="00A672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 فقد يترجح ما يخالفه ويتغير الاجتهاد</w:t>
      </w:r>
      <w:r w:rsidR="00A672CA" w:rsidRPr="00A672C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672CA" w:rsidRPr="00F0100D">
        <w:rPr>
          <w:rFonts w:ascii="Simplified Arabic" w:hAnsi="Simplified Arabic" w:cs="Simplified Arabic"/>
          <w:sz w:val="28"/>
          <w:szCs w:val="28"/>
          <w:rtl/>
        </w:rPr>
        <w:t>حينئذٍ</w:t>
      </w:r>
      <w:r w:rsidRPr="00F0100D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A50517" w:rsidRPr="00F0100D" w:rsidRDefault="00A50517" w:rsidP="00A672C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0100D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F0100D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الثالثة والأربعون، 15/8/1432.</w:t>
      </w:r>
    </w:p>
    <w:p w:rsidR="00E67D5A" w:rsidRPr="00F0100D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F0100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B808D93-5F50-4331-ACEB-59FE03A92D7F}"/>
    <w:embedBold r:id="rId2" w:fontKey="{E0B32779-338A-4656-8257-67E343C7AB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89DBB0-6C8D-4F0C-AD93-D5437B510D7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541138E-EC35-40D6-B37D-BC4E0CE2921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5CCEA7B-6B89-4316-B05B-CB8DF2DA75F3}"/>
    <w:embedBold r:id="rId6" w:fontKey="{FD66BBA5-954C-48E7-A13A-2F636DD33B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C4AC72F-F0D1-4AD4-8BAB-F51424F0DB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5314D78-19D2-442D-A169-67E3A8161E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051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2BB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4F9E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1CB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9C0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27D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0517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7D6"/>
    <w:rsid w:val="00A65BD5"/>
    <w:rsid w:val="00A66F03"/>
    <w:rsid w:val="00A66F05"/>
    <w:rsid w:val="00A672CA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4228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00D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58448D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051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261</Words>
  <Characters>1489</Characters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2015-02-06T16:11:00Z</cp:lastPrinted>
  <dcterms:created xsi:type="dcterms:W3CDTF">2012-12-18T10:34:00Z</dcterms:created>
  <dcterms:modified xsi:type="dcterms:W3CDTF">2019-06-18T20:31:00Z</dcterms:modified>
</cp:coreProperties>
</file>