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53B" w:rsidRPr="00D0253B" w:rsidRDefault="008D42B3" w:rsidP="00D0253B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8D42B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وصايا وتوجيهات لطلاب العلم</w:t>
      </w:r>
    </w:p>
    <w:p w:rsidR="00D0253B" w:rsidRDefault="008D42B3" w:rsidP="00D0253B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كيفية </w:t>
      </w:r>
      <w:r w:rsidR="00D0253B" w:rsidRPr="00D0253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الاستفادة من العلماء المتقدمين</w:t>
      </w:r>
    </w:p>
    <w:p w:rsidR="00D0253B" w:rsidRPr="00D0253B" w:rsidRDefault="00D0253B" w:rsidP="00D0253B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CD2838" w:rsidRPr="00D0253B" w:rsidRDefault="00D0253B" w:rsidP="00D0253B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025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D2838" w:rsidRPr="00D025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CD2838" w:rsidRPr="00D0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هي الطريقة المثلى للاستفادة من المتقدمين من أهل العلم في شتى الفنون والعلوم</w:t>
      </w:r>
      <w:r w:rsidRPr="00D0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D2838" w:rsidRPr="00D0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هم الأصل في التتلمذ والتعلم؟</w:t>
      </w:r>
    </w:p>
    <w:p w:rsidR="00CD2838" w:rsidRDefault="00D0253B" w:rsidP="004739EF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D025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D2838" w:rsidRPr="00D025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نعم الأقدمون هم الأصل في كل فن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لكن بالنسبة لطالب علم متمكن يستطيع أن 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يستفيد من كلامهم، 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أما بالنسبة لطالب علم لا يفهم أقوالهم ولا اصطلاحاتهم 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فمثل هذا 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لابد أن يتدرج في الفنون على الجادة التي رسمها أهل العلم في طريقتهم في تأليف المختصرات والمتون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فإذا لزم الجادة وترقّى وتدرّج في أي فن من الفنون فإنه يترك كتب المتأخرين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وتكون عنايته بكتب المتقدمين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لأنهم الأصل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أُثير قبل نصف قرن أو أكثر عدم الاهتمام بكتب المتأخرين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فبدؤوا بكتب البلاغة ونعوا على من</w:t>
      </w:r>
      <w:bookmarkStart w:id="0" w:name="_GoBack"/>
      <w:bookmarkEnd w:id="0"/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يعتني بكتب القزويني مثل 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التلخيص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)؛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لأن الناس فتنوا به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وك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ب عليه الشروح الكثيرة والحواشي المطولة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واعتنى به الناس قراءة وإقراء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وقرروه في دروسهم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وصار عمدة في الباب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جاء من يقلل من شأن هذا المتن ويُلزم بالاهتمام بكلام المتقدمين في هذا الباب كما في كتب عبد</w:t>
      </w:r>
      <w:r w:rsidR="004739E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القاهر الجرجاني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وما كتبه المتقدمون من العناية بكتب الأدباء المتقدمين كالجاحظ وغيره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لكن الطالب المبتدئ ماذا يدرك من كتب المتقدمين في كلام عام سائب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نعم عليه أن يؤسس على طريقة أهل العلم في المتون التي تبين له التصور الدقيق لهذا العلم في جملته وفي أبوابه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لابد أن يكون لدى طالب العلم تصوّر دقيق للعلم على طريقة المتون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تأهل للنظر في كتب المتقدمين واستطاع أن يحاكيهم في أساليبهم تعيَّن عليه ذلك</w:t>
      </w:r>
      <w:r w:rsidR="004739E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جاءت الدعوة إلى نبذ أقوال الفقهاء وكتب الفقه إلى التفقه من الكتاب والسنة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والرمي بمثل هذا الكلام في أوساط المبتدئين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739E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لا يمكن أن يقال لطالب مبتدئ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تفقه من الكتاب والسنة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وهو لا يستطيع أن يتعامل مع نصوص الكتاب والسنة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لا يعرف كيف يجمع بين المختلف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ولا 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يستطيع أن يوفق بين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الأحاديث والآيات أو الآيات مع الأحاديث إذا حصل 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بينها نوع تعارض في الظاهر، 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ولا يعرف الناسخ من المنسوخ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ولا الخاص من العام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ولا المطلق من المقيد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كيف يتعامل مع النصوص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هذا عليه أن يبدأ التعلم في هذا الفن على طريقة أهل العلم في متن من المتون المعتبرة في بلده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 ثم بعد ذلك يعتني بالدليل،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ويعتني بمسائل الكتاب ويستدل لها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وينظر من وافق ومن خالف مع دليل الموافق والمخالف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يتأهل للاجتهاد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ثم يتفقه من الكتاب والسنة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ويحسن توجيه هذا الكلام له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بل يتعين عليه أن يتفقه من الكتاب والسنة 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ولا يجوز له أن يقلِّد 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إذا تأهل للاجتهاد</w:t>
      </w:r>
      <w:r w:rsidR="004739E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ثم جاءت الدعوة إلى نبذ كلام المتأخرين في علوم الحديث والاهتمام بكلام المتقدمين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وهذه لا شك أنها دعوة لها حظ من النظر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والقائمون عليها مثل من قام على الدعوات السابقة في الفقه والبلاغة لا يُظَن بهم إلا كل خير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لكن الكلام فيمن يُلقى إليه مثل هذا الكلام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إذا أراد أن يتعامل مع أقوال المتقدمين في علوم الحديث </w:t>
      </w:r>
      <w:r w:rsidRPr="00D0253B">
        <w:rPr>
          <w:rFonts w:ascii="Simplified Arabic" w:hAnsi="Simplified Arabic" w:cs="Simplified Arabic"/>
          <w:sz w:val="28"/>
          <w:szCs w:val="28"/>
          <w:rtl/>
        </w:rPr>
        <w:t>–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مثلاً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م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ن يقلد من المتقدمين وهو ليست لديه أهلية وليست لديه ملكة يستطيع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من خلالها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أن يميِّز بين أقوال المتقدمين ما الراجح وما الم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رجوح منها</w:t>
      </w:r>
      <w:r w:rsidR="004739E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>وكيف يستطيع أن يرجِّح بالقرائن كما كانوا يصنعون</w:t>
      </w:r>
      <w:r w:rsidRPr="00D0253B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CD2838" w:rsidRPr="00D0253B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D0253B" w:rsidRPr="00D0253B" w:rsidRDefault="00D0253B" w:rsidP="00D0253B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</w:p>
    <w:p w:rsidR="00E67D5A" w:rsidRDefault="00CD2838" w:rsidP="00D0253B">
      <w:pPr>
        <w:autoSpaceDE w:val="0"/>
        <w:autoSpaceDN w:val="0"/>
        <w:adjustRightInd w:val="0"/>
        <w:spacing w:before="0" w:after="0" w:line="240" w:lineRule="auto"/>
        <w:ind w:firstLine="0"/>
      </w:pPr>
      <w:r w:rsidRPr="00D0253B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</w:t>
      </w:r>
      <w:r w:rsidRPr="00BE73F6">
        <w:rPr>
          <w:rFonts w:hint="cs"/>
          <w:b/>
          <w:bCs/>
          <w:sz w:val="28"/>
          <w:szCs w:val="28"/>
          <w:rtl/>
        </w:rPr>
        <w:t xml:space="preserve"> نور على الدرب، الحلقة </w:t>
      </w:r>
      <w:r>
        <w:rPr>
          <w:rFonts w:hint="cs"/>
          <w:b/>
          <w:bCs/>
          <w:sz w:val="28"/>
          <w:szCs w:val="28"/>
          <w:rtl/>
        </w:rPr>
        <w:t>الحادية والستون 21</w:t>
      </w:r>
      <w:r w:rsidRPr="00BE73F6">
        <w:rPr>
          <w:rFonts w:hint="cs"/>
          <w:b/>
          <w:bCs/>
          <w:sz w:val="28"/>
          <w:szCs w:val="28"/>
          <w:rtl/>
        </w:rPr>
        <w:t>/</w:t>
      </w:r>
      <w:r>
        <w:rPr>
          <w:rFonts w:hint="cs"/>
          <w:b/>
          <w:bCs/>
          <w:sz w:val="28"/>
          <w:szCs w:val="28"/>
          <w:rtl/>
        </w:rPr>
        <w:t>12</w:t>
      </w:r>
      <w:r w:rsidRPr="00BE73F6">
        <w:rPr>
          <w:rFonts w:hint="cs"/>
          <w:b/>
          <w:bCs/>
          <w:sz w:val="28"/>
          <w:szCs w:val="28"/>
          <w:rtl/>
        </w:rPr>
        <w:t>/</w:t>
      </w:r>
      <w:r>
        <w:rPr>
          <w:rFonts w:hint="cs"/>
          <w:b/>
          <w:bCs/>
          <w:sz w:val="28"/>
          <w:szCs w:val="28"/>
          <w:rtl/>
        </w:rPr>
        <w:t>1432هـ</w:t>
      </w:r>
    </w:p>
    <w:sectPr w:rsidR="00E67D5A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597D" w:rsidRDefault="0059597D" w:rsidP="00CD2838">
      <w:pPr>
        <w:spacing w:before="0" w:after="0" w:line="240" w:lineRule="auto"/>
      </w:pPr>
      <w:r>
        <w:separator/>
      </w:r>
    </w:p>
  </w:endnote>
  <w:endnote w:type="continuationSeparator" w:id="0">
    <w:p w:rsidR="0059597D" w:rsidRDefault="0059597D" w:rsidP="00CD283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629B94-26F6-4E56-9D50-05A6875F6AFA}"/>
    <w:embedBold r:id="rId2" w:fontKey="{D9DC3E46-289C-4747-B3DE-39072039B4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D0F4C5-1768-4895-833A-3B6CB8C335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28F0778-4E36-4CA2-904C-AFA1E719DF1A}"/>
    <w:embedBold r:id="rId5" w:fontKey="{E1CB2262-A772-4F95-824F-48D0E72912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8B8787E-0204-4816-A6FD-98C277490AF2}"/>
    <w:embedBold r:id="rId7" w:fontKey="{E3DEC157-E19B-4404-BCA2-9959CC4BC2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099E6D8-51B3-437F-8AE7-D2DD6C441D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3229B0A-072F-4EB8-B860-FF7C02C441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838" w:rsidRDefault="00CD283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950933"/>
      <w:docPartObj>
        <w:docPartGallery w:val="Page Numbers (Bottom of Page)"/>
        <w:docPartUnique/>
      </w:docPartObj>
    </w:sdtPr>
    <w:sdtEndPr/>
    <w:sdtContent>
      <w:p w:rsidR="00CD2838" w:rsidRDefault="00DB032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544" w:rsidRPr="00C51544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CD2838" w:rsidRDefault="00CD283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838" w:rsidRDefault="00CD283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597D" w:rsidRDefault="0059597D" w:rsidP="00CD2838">
      <w:pPr>
        <w:spacing w:before="0" w:after="0" w:line="240" w:lineRule="auto"/>
      </w:pPr>
      <w:r>
        <w:separator/>
      </w:r>
    </w:p>
  </w:footnote>
  <w:footnote w:type="continuationSeparator" w:id="0">
    <w:p w:rsidR="0059597D" w:rsidRDefault="0059597D" w:rsidP="00CD283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838" w:rsidRDefault="00CD283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838" w:rsidRDefault="00CD283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838" w:rsidRDefault="00CD283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283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0D6F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5416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9EF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97D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2B3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544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38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53B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320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0CAA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265A11"/>
  <w15:docId w15:val="{A716C576-740C-4507-A6E9-E28340E30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2838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CD2838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CD2838"/>
    <w:rPr>
      <w:rFonts w:eastAsia="SimSun"/>
      <w:noProof/>
      <w:sz w:val="36"/>
      <w:szCs w:val="36"/>
    </w:rPr>
  </w:style>
  <w:style w:type="paragraph" w:styleId="a5">
    <w:name w:val="footer"/>
    <w:basedOn w:val="a"/>
    <w:link w:val="Char1"/>
    <w:uiPriority w:val="99"/>
    <w:unhideWhenUsed/>
    <w:rsid w:val="00CD2838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CD2838"/>
    <w:rPr>
      <w:rFonts w:eastAsia="SimSun"/>
      <w:noProof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2012-12-29T04:33:00Z</dcterms:created>
  <dcterms:modified xsi:type="dcterms:W3CDTF">2019-07-09T11:39:00Z</dcterms:modified>
</cp:coreProperties>
</file>