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964" w:rsidRPr="00124964" w:rsidRDefault="00124964" w:rsidP="0012496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12496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الغسل</w:t>
      </w:r>
    </w:p>
    <w:p w:rsidR="00124964" w:rsidRDefault="00124964" w:rsidP="0012496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12496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خروج المذي بعد غسل الجنابة</w:t>
      </w:r>
    </w:p>
    <w:p w:rsidR="00124964" w:rsidRPr="00124964" w:rsidRDefault="00124964" w:rsidP="00124964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375DD5" w:rsidRPr="00124964" w:rsidRDefault="00124964" w:rsidP="00124964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249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75DD5" w:rsidRPr="001249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5DD5" w:rsidRPr="00124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اغتسلت للجنابة</w:t>
      </w:r>
      <w:r w:rsidRPr="00124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75DD5" w:rsidRPr="00124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أن انتهى غسل الجنابة نزل مني المذي</w:t>
      </w:r>
      <w:r w:rsidRPr="00124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75DD5" w:rsidRPr="00124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</w:t>
      </w:r>
      <w:r w:rsidRPr="00124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75DD5" w:rsidRPr="001249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عيد الغسل أو أنني أتوضأ عند هذه الحالة وأكتفي بذلك؟</w:t>
      </w:r>
    </w:p>
    <w:p w:rsidR="00375DD5" w:rsidRPr="00124964" w:rsidRDefault="00124964" w:rsidP="0012496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249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75DD5" w:rsidRPr="001249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 xml:space="preserve"> ما يخرج بعد الاغتسال فإنه لا يؤثر على الغسل وليس من موجباته، ولو خرج مني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 xml:space="preserve"> بعد الاغتسال فإنه لا ي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>عيد الغسل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 xml:space="preserve"> ومن باب أولى إذا خرج المذي؛ وإنما هذا ناقض للوضوء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 xml:space="preserve"> فعليه أن ي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 xml:space="preserve">عيد الوضوء إذا كان قد توضأ قبل اغتساله 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>كما هو المشروع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 xml:space="preserve"> في غسل الجنابة: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>يتوضأ وضوءه للصلاة ثم يغتسل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>فإذا خرج من ذكره شيء بعد ذلك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>، سواء كان مني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>ًّا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 xml:space="preserve"> أو مذي</w:t>
      </w:r>
      <w:r w:rsidRPr="00124964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75DD5" w:rsidRPr="00124964">
        <w:rPr>
          <w:rFonts w:ascii="Simplified Arabic" w:hAnsi="Simplified Arabic" w:cs="Simplified Arabic" w:hint="cs"/>
          <w:sz w:val="28"/>
          <w:szCs w:val="28"/>
          <w:rtl/>
        </w:rPr>
        <w:t xml:space="preserve"> أو غيرهما، فإنه يتوضأ وضوءه للصلاة.</w:t>
      </w:r>
    </w:p>
    <w:p w:rsidR="00124964" w:rsidRPr="00124964" w:rsidRDefault="00124964" w:rsidP="0012496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24964" w:rsidRDefault="00375DD5" w:rsidP="0012496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24964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والستون 27/1/1433هـ</w:t>
      </w:r>
    </w:p>
    <w:sectPr w:rsidR="00E67D5A" w:rsidRPr="0012496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3741F2-4189-4155-8BD4-355087AA0C23}"/>
    <w:embedBold r:id="rId2" w:fontKey="{934CDABC-75B2-4A4C-B511-8CCDB78DD0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DCADF2-91CA-4BDC-9FC1-639D5B075AF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83FCD00-1B83-4CB5-B499-07B48FA93F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F8C03CE-3E4C-4CF4-A5AF-412FE6C9F948}"/>
    <w:embedBold r:id="rId6" w:fontKey="{5E74DF14-8644-485A-B2E6-7AA666E907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5FFE485-EDDF-42B0-B4FE-487D632631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36E64D1-ECE9-4CDC-AEA8-E0282001A4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5DD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964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5DD5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1F24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9FA2D2E-689F-4E2F-AC04-175E7330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DD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2012-12-29T11:28:00Z</dcterms:created>
  <dcterms:modified xsi:type="dcterms:W3CDTF">2019-07-10T08:16:00Z</dcterms:modified>
</cp:coreProperties>
</file>