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AFB" w:rsidRPr="009A3AFB" w:rsidRDefault="009A3AFB" w:rsidP="009A3A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3AFB">
        <w:rPr>
          <w:rFonts w:ascii="Simplified Arabic" w:hAnsi="Simplified Arabic" w:hint="cs"/>
          <w:color w:val="0000FF"/>
          <w:sz w:val="28"/>
          <w:szCs w:val="28"/>
          <w:rtl/>
        </w:rPr>
        <w:t>الح</w:t>
      </w:r>
      <w:r w:rsidR="00606089">
        <w:rPr>
          <w:rFonts w:ascii="Simplified Arabic" w:hAnsi="Simplified Arabic" w:hint="cs"/>
          <w:color w:val="0000FF"/>
          <w:sz w:val="28"/>
          <w:szCs w:val="28"/>
          <w:rtl/>
        </w:rPr>
        <w:t>ي</w:t>
      </w:r>
      <w:r w:rsidRPr="009A3AFB">
        <w:rPr>
          <w:rFonts w:ascii="Simplified Arabic" w:hAnsi="Simplified Arabic" w:hint="cs"/>
          <w:color w:val="0000FF"/>
          <w:sz w:val="28"/>
          <w:szCs w:val="28"/>
          <w:rtl/>
        </w:rPr>
        <w:t>ض والنفاس</w:t>
      </w:r>
    </w:p>
    <w:p w:rsidR="009A3AFB" w:rsidRPr="009A3AFB" w:rsidRDefault="009A3AFB" w:rsidP="009A3A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3AFB">
        <w:rPr>
          <w:rFonts w:ascii="Simplified Arabic" w:hAnsi="Simplified Arabic" w:hint="cs"/>
          <w:color w:val="0000FF"/>
          <w:sz w:val="28"/>
          <w:szCs w:val="28"/>
          <w:rtl/>
        </w:rPr>
        <w:t>التسبيح وقراءة القرآن للحائض</w:t>
      </w:r>
    </w:p>
    <w:p w:rsidR="009A3AFB" w:rsidRPr="009A3AFB" w:rsidRDefault="009A3AFB" w:rsidP="009A3A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F775D" w:rsidRPr="009A3AFB" w:rsidRDefault="009A3AFB" w:rsidP="009A3AF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A3A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775D" w:rsidRPr="009A3A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775D" w:rsidRPr="009A3A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التسبيح للمرأة الحائض</w:t>
      </w:r>
      <w:r w:rsidRPr="009A3A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F775D" w:rsidRPr="009A3A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قرأت آية من حفظها أيجوز لها ذلك؟</w:t>
      </w:r>
    </w:p>
    <w:p w:rsidR="002F775D" w:rsidRDefault="009A3AFB" w:rsidP="009A3AF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A3A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775D" w:rsidRPr="009A3A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للتسبيح وسائر الأذكار فإنه لا مانع منه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بل عليها أن تكون كالطاهرات ل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>هجة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ً بذكر الله -جل وعلا-، 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>ولسانها رطب بذلك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وأما قراءة القرآن فأهل العلم يختلفون في قراءة الحائض للقرآن وهل 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هي ك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>الجنب ت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>منع منه حتى تطهر أو تختلف عن الجنب باعتبار أن الجنابة بيد المجنب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متى شاء رفعها بخلاف الحيض فإن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حيضتها ليست بيدها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ولذا يفتي جمع من أهل التحقيق من المعاصرين أن الحائض لها أن تقرأ القرآن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وإلا فأكثر أهل العلم على منعها كالجنب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F775D"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للاشتراك في الحدث الأكبر.</w:t>
      </w:r>
    </w:p>
    <w:p w:rsidR="009A3AFB" w:rsidRPr="009A3AFB" w:rsidRDefault="009A3AFB" w:rsidP="009A3AF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A3AFB" w:rsidRDefault="002F775D" w:rsidP="009A3AF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A3AF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9A3AFB">
        <w:rPr>
          <w:rFonts w:ascii="Simplified Arabic" w:hAnsi="Simplified Arabic" w:cs="Simplified Arabic"/>
          <w:sz w:val="28"/>
          <w:szCs w:val="28"/>
          <w:rtl/>
        </w:rPr>
        <w:t>ال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9A3AF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9A3AFB">
        <w:rPr>
          <w:rFonts w:ascii="Simplified Arabic" w:hAnsi="Simplified Arabic" w:cs="Simplified Arabic"/>
          <w:sz w:val="28"/>
          <w:szCs w:val="28"/>
          <w:rtl/>
        </w:rPr>
        <w:t>/</w:t>
      </w:r>
      <w:r w:rsidRPr="009A3AFB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9A3AF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9A3A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0D61E8-E174-4788-9457-3EA4E55007B0}"/>
    <w:embedBold r:id="rId2" w:fontKey="{6BC7FEB2-52DE-4C53-AD98-8BFD2E3FFC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C10F07-FBE3-4C58-9193-6C056F0FD6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1BF3D66-9D25-4B30-9752-60947614477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AFE91E7-D497-4E2C-9EFA-87FE625E9F06}"/>
    <w:embedBold r:id="rId6" w:fontKey="{69359C9D-2399-4586-BF73-128D9179B9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7EB217-0CAE-4B85-BA64-884EDA2574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52CC79-6CF5-4082-8E98-2C8E8542E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775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75D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81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89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AFB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EF80AD6-79AF-4967-9F17-9517E4EE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7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2012-12-31T06:24:00Z</dcterms:created>
  <dcterms:modified xsi:type="dcterms:W3CDTF">2019-07-10T14:34:00Z</dcterms:modified>
</cp:coreProperties>
</file>