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322CA" w14:textId="77777777" w:rsidR="000D7FB1" w:rsidRPr="00416789" w:rsidRDefault="000D7FB1" w:rsidP="000D7FB1">
      <w:pPr>
        <w:framePr w:hSpace="180" w:wrap="around" w:vAnchor="text" w:hAnchor="margin" w:xAlign="center" w:y="381"/>
        <w:spacing w:before="120" w:after="120" w:line="240" w:lineRule="atLeast"/>
        <w:jc w:val="center"/>
        <w:rPr>
          <w:rFonts w:ascii="Traditional Arabic" w:hAnsi="Traditional Arabic"/>
          <w:b/>
          <w:bCs/>
          <w:color w:val="0070C0"/>
          <w:rtl/>
        </w:rPr>
      </w:pPr>
      <w:r w:rsidRPr="00416789">
        <w:rPr>
          <w:rFonts w:ascii="Traditional Arabic" w:hAnsi="Traditional Arabic" w:hint="cs"/>
          <w:b/>
          <w:bCs/>
          <w:color w:val="0070C0"/>
          <w:rtl/>
        </w:rPr>
        <w:t>[</w:t>
      </w:r>
      <w:r w:rsidRPr="00416789">
        <w:rPr>
          <w:rFonts w:ascii="Traditional Arabic" w:hAnsi="Traditional Arabic"/>
          <w:b/>
          <w:bCs/>
          <w:color w:val="0070C0"/>
          <w:rtl/>
        </w:rPr>
        <w:t>جلسة الاستراحة وتسميتها</w:t>
      </w:r>
      <w:r w:rsidRPr="00416789">
        <w:rPr>
          <w:rFonts w:ascii="Traditional Arabic" w:hAnsi="Traditional Arabic" w:hint="cs"/>
          <w:b/>
          <w:bCs/>
          <w:color w:val="0070C0"/>
          <w:rtl/>
        </w:rPr>
        <w:t>]</w:t>
      </w:r>
    </w:p>
    <w:p w14:paraId="136A85AA" w14:textId="77777777" w:rsidR="000D7FB1" w:rsidRPr="00416789" w:rsidRDefault="000D7FB1" w:rsidP="000D7FB1">
      <w:pPr>
        <w:framePr w:hSpace="180" w:wrap="around" w:vAnchor="text" w:hAnchor="margin" w:xAlign="center" w:y="381"/>
        <w:spacing w:before="120" w:after="120" w:line="240" w:lineRule="atLeast"/>
        <w:jc w:val="both"/>
        <w:rPr>
          <w:rFonts w:ascii="Traditional Arabic" w:hAnsi="Traditional Arabic"/>
          <w:rtl/>
        </w:rPr>
      </w:pPr>
    </w:p>
    <w:p w14:paraId="5363D42E" w14:textId="77777777" w:rsidR="00461B88" w:rsidRPr="00416789" w:rsidRDefault="00461B88" w:rsidP="00461B88">
      <w:pPr>
        <w:spacing w:before="120" w:after="120" w:line="240" w:lineRule="atLeast"/>
        <w:jc w:val="both"/>
        <w:rPr>
          <w:rFonts w:ascii="Traditional Arabic" w:eastAsia="Calibri" w:hAnsi="Traditional Arabic"/>
          <w:shd w:val="clear" w:color="auto" w:fill="F2F2F2" w:themeFill="background1" w:themeFillShade="F2"/>
          <w:rtl/>
        </w:rPr>
      </w:pPr>
      <w:r w:rsidRPr="00416789">
        <w:rPr>
          <w:rFonts w:ascii="Traditional Arabic" w:eastAsia="Calibri" w:hAnsi="Traditional Arabic"/>
          <w:rtl/>
        </w:rPr>
        <w:t>هذه الجلسة لا إشكال في ثبوتها عن النبي -عليه الصلاة والسلام-، فحديث مالك بن الحويرث في البخاري، وليس لأحد كلام، واختلفوا في مشروعيتها، فقال بمشروعيتها الشافعي، وطائفة من أهل الحديث، وهو رواية عن أحمد.</w:t>
      </w:r>
    </w:p>
    <w:p w14:paraId="37CFC94B" w14:textId="77777777" w:rsidR="00461B88" w:rsidRPr="00416789" w:rsidRDefault="00461B88" w:rsidP="00461B88">
      <w:pPr>
        <w:spacing w:before="120" w:after="120" w:line="240" w:lineRule="atLeast"/>
        <w:jc w:val="both"/>
        <w:rPr>
          <w:rFonts w:ascii="Traditional Arabic" w:eastAsia="Calibri" w:hAnsi="Traditional Arabic"/>
          <w:shd w:val="clear" w:color="auto" w:fill="F2F2F2" w:themeFill="background1" w:themeFillShade="F2"/>
          <w:rtl/>
        </w:rPr>
      </w:pPr>
      <w:r w:rsidRPr="00416789">
        <w:rPr>
          <w:rFonts w:ascii="Traditional Arabic" w:eastAsia="Calibri" w:hAnsi="Traditional Arabic"/>
          <w:rtl/>
        </w:rPr>
        <w:t>ولم يستحبها الأكثر، لا الحنفية ولا المالكية ولا الحنابلة في المشهور عندهم، وقالوا: إنما حفظت هذه الجلسة عن النبي -عليه الصلاة والسلام- في آخر حياته لما ثقل، ولذا لم يذكرها جميع من وصف صلاة النبي -عليه الصلاة والسلام- إلا مالك بن الحويرث، هذا بالنسبة للإمام</w:t>
      </w:r>
      <w:r>
        <w:rPr>
          <w:rFonts w:ascii="Traditional Arabic" w:eastAsia="Calibri" w:hAnsi="Traditional Arabic" w:hint="cs"/>
          <w:rtl/>
        </w:rPr>
        <w:t>،</w:t>
      </w:r>
      <w:r w:rsidRPr="00416789">
        <w:rPr>
          <w:rFonts w:ascii="Traditional Arabic" w:eastAsia="Calibri" w:hAnsi="Traditional Arabic"/>
          <w:rtl/>
        </w:rPr>
        <w:t xml:space="preserve"> أما المأموم -عندهم- فلا يجلس، لحديث: </w:t>
      </w:r>
      <w:r w:rsidRPr="0038334B">
        <w:rPr>
          <w:rFonts w:ascii="Traditional Arabic" w:eastAsia="Calibri" w:hAnsi="Traditional Arabic"/>
          <w:color w:val="0000FF"/>
          <w:rtl/>
        </w:rPr>
        <w:t>«إنما جعل الإمام ليؤتم به فلا تختلفوا عليه»</w:t>
      </w:r>
      <w:r w:rsidRPr="00416789">
        <w:rPr>
          <w:rFonts w:ascii="Traditional Arabic" w:eastAsia="Calibri" w:hAnsi="Traditional Arabic"/>
          <w:rtl/>
        </w:rPr>
        <w:t>.</w:t>
      </w:r>
    </w:p>
    <w:p w14:paraId="396A2142" w14:textId="77777777" w:rsidR="00461B88" w:rsidRPr="00416789" w:rsidRDefault="00461B88" w:rsidP="00461B88">
      <w:pPr>
        <w:spacing w:before="120" w:after="120" w:line="240" w:lineRule="atLeast"/>
        <w:jc w:val="both"/>
        <w:rPr>
          <w:rFonts w:ascii="Traditional Arabic" w:eastAsia="Calibri" w:hAnsi="Traditional Arabic"/>
          <w:shd w:val="clear" w:color="auto" w:fill="F2F2F2" w:themeFill="background1" w:themeFillShade="F2"/>
          <w:rtl/>
        </w:rPr>
      </w:pPr>
      <w:r w:rsidRPr="00416789">
        <w:rPr>
          <w:rFonts w:ascii="Traditional Arabic" w:eastAsia="Calibri" w:hAnsi="Traditional Arabic"/>
          <w:rtl/>
        </w:rPr>
        <w:t>ويسميها الفقهاء</w:t>
      </w:r>
      <w:r>
        <w:rPr>
          <w:rFonts w:ascii="Traditional Arabic" w:eastAsia="Calibri" w:hAnsi="Traditional Arabic" w:hint="cs"/>
          <w:rtl/>
        </w:rPr>
        <w:t>:</w:t>
      </w:r>
      <w:r w:rsidRPr="00416789">
        <w:rPr>
          <w:rFonts w:ascii="Traditional Arabic" w:eastAsia="Calibri" w:hAnsi="Traditional Arabic"/>
          <w:rtl/>
        </w:rPr>
        <w:t xml:space="preserve"> </w:t>
      </w:r>
      <w:r>
        <w:rPr>
          <w:rFonts w:ascii="Traditional Arabic" w:eastAsia="Calibri" w:hAnsi="Traditional Arabic" w:hint="cs"/>
          <w:rtl/>
        </w:rPr>
        <w:t>(</w:t>
      </w:r>
      <w:r w:rsidRPr="00416789">
        <w:rPr>
          <w:rFonts w:ascii="Traditional Arabic" w:eastAsia="Calibri" w:hAnsi="Traditional Arabic"/>
          <w:rtl/>
        </w:rPr>
        <w:t>جلسة الاستراحة</w:t>
      </w:r>
      <w:r>
        <w:rPr>
          <w:rFonts w:ascii="Traditional Arabic" w:eastAsia="Calibri" w:hAnsi="Traditional Arabic" w:hint="cs"/>
          <w:rtl/>
        </w:rPr>
        <w:t>)</w:t>
      </w:r>
      <w:r w:rsidRPr="00416789">
        <w:rPr>
          <w:rFonts w:ascii="Traditional Arabic" w:eastAsia="Calibri" w:hAnsi="Traditional Arabic"/>
          <w:rtl/>
        </w:rPr>
        <w:t>، وهي في الحقيقة ليست للاستراحة إنما هي زيادة تكليف في الصلاة، فالأسهل للمصلي إذا سجد أن يقوم مباشرة، لاسيما من يحتاج، فالذي يثقل أو يحس بوجع في ركبتيه، فالأسهل له أن يقوم إلى الركعة، لا أن يجلس ثم يقوم، لأن جلوسه زيادة عبء عليه، فالرِّجل في السجود ليست منثنية انثناء تامًّا، بل نصف انثناء، فإذا قام مباشرة، أسهل له</w:t>
      </w:r>
      <w:r>
        <w:rPr>
          <w:rFonts w:ascii="Traditional Arabic" w:eastAsia="Calibri" w:hAnsi="Traditional Arabic"/>
          <w:rtl/>
        </w:rPr>
        <w:t xml:space="preserve"> من كونه يثنيها ثنيًا كامل</w:t>
      </w:r>
      <w:r>
        <w:rPr>
          <w:rFonts w:ascii="Traditional Arabic" w:eastAsia="Calibri" w:hAnsi="Traditional Arabic" w:hint="cs"/>
          <w:rtl/>
        </w:rPr>
        <w:t>ً</w:t>
      </w:r>
      <w:r>
        <w:rPr>
          <w:rFonts w:ascii="Traditional Arabic" w:eastAsia="Calibri" w:hAnsi="Traditional Arabic"/>
          <w:rtl/>
        </w:rPr>
        <w:t>ا</w:t>
      </w:r>
      <w:r w:rsidRPr="00416789">
        <w:rPr>
          <w:rFonts w:ascii="Traditional Arabic" w:eastAsia="Calibri" w:hAnsi="Traditional Arabic"/>
          <w:rtl/>
        </w:rPr>
        <w:t xml:space="preserve"> ثم يقوم،</w:t>
      </w:r>
      <w:r>
        <w:rPr>
          <w:rFonts w:ascii="Traditional Arabic" w:eastAsia="Calibri" w:hAnsi="Traditional Arabic" w:hint="cs"/>
          <w:rtl/>
        </w:rPr>
        <w:t xml:space="preserve"> </w:t>
      </w:r>
      <w:r w:rsidRPr="00416789">
        <w:rPr>
          <w:rFonts w:ascii="Traditional Arabic" w:eastAsia="Calibri" w:hAnsi="Traditional Arabic"/>
          <w:rtl/>
        </w:rPr>
        <w:t>وليس في النصوص ما يدل على تسميتها جلسة استراحة، والفقهاء سموها بهذا من أجل أن يعتبروها راحة في الصلاة، فلا يفعلها -عندهم- إلا من يحتاج إلى هذه الراحة، والواقع العكس، فالمحتاج قد لا يفعلها، وهذا شيء مجرَّب، فكبار السن ومن عندهم روماتيزم وما أشبه ذلك، يصعب عليهم الجلوس، لأنها ليست جلسة طويلة بحيث يرتاح راحة تامة، بل هي مجرد جلسة خفيفة ثم يقوم، فهي زيادة تكليف عليه.</w:t>
      </w:r>
    </w:p>
    <w:p w14:paraId="393936F3" w14:textId="38F5BC5C" w:rsidR="00DB33AD" w:rsidRDefault="000D7FB1" w:rsidP="000D7FB1">
      <w:r w:rsidRPr="00416789">
        <w:rPr>
          <w:rFonts w:ascii="Traditional Arabic" w:eastAsia="Calibri" w:hAnsi="Traditional Arabic"/>
          <w:rtl/>
        </w:rPr>
        <w:t>وأما استدلالهم بأنها لم تنقل إلا من طريق مالك بن الحويرث، فقد نص ابن القيم، وابن حجر: أنها جاءت في بعض طرق حديث أبي حميد،</w:t>
      </w:r>
      <w:r w:rsidRPr="00416789">
        <w:rPr>
          <w:rFonts w:ascii="Traditional Arabic" w:eastAsia="Calibri" w:hAnsi="Traditional Arabic" w:hint="cs"/>
          <w:rtl/>
        </w:rPr>
        <w:t xml:space="preserve"> </w:t>
      </w:r>
      <w:r w:rsidRPr="00416789">
        <w:rPr>
          <w:rFonts w:ascii="Traditional Arabic" w:eastAsia="Calibri" w:hAnsi="Traditional Arabic"/>
          <w:rtl/>
        </w:rPr>
        <w:t xml:space="preserve">الذي وصف صلاة النبي -عليه الصلاة والسلام- </w:t>
      </w:r>
      <w:r w:rsidRPr="00416789">
        <w:rPr>
          <w:rFonts w:ascii="Traditional Arabic" w:eastAsia="Calibri" w:hAnsi="Traditional Arabic"/>
          <w:rtl/>
        </w:rPr>
        <w:lastRenderedPageBreak/>
        <w:t>بحضرة عشرة من الصحابة، ونص ابن حجر في التلخيص: أنها جاءت في بعض طرق حديث المسيء.</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31"/>
    <w:rsid w:val="000D7FB1"/>
    <w:rsid w:val="0038334B"/>
    <w:rsid w:val="00461B88"/>
    <w:rsid w:val="00530D34"/>
    <w:rsid w:val="006E515B"/>
    <w:rsid w:val="0095429D"/>
    <w:rsid w:val="00DB33AD"/>
    <w:rsid w:val="00E7309B"/>
    <w:rsid w:val="00FD3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606DE-8B90-4DA1-9F01-79A68CD7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FB1"/>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2021-07-20T17:20:00Z</dcterms:created>
  <dcterms:modified xsi:type="dcterms:W3CDTF">2021-07-23T10:43:00Z</dcterms:modified>
</cp:coreProperties>
</file>