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5D30" w:rsidRPr="00362431" w:rsidRDefault="00035D30" w:rsidP="0030223E">
      <w:pPr>
        <w:framePr w:hSpace="180" w:wrap="around" w:vAnchor="text" w:hAnchor="margin" w:xAlign="center" w:y="258"/>
        <w:suppressOverlap/>
        <w:jc w:val="center"/>
        <w:rPr>
          <w:rFonts w:ascii="Simplified Arabic" w:hAnsi="Simplified Arabic" w:cs="Simplified Arabic"/>
          <w:color w:val="365F91" w:themeColor="accent1" w:themeShade="BF"/>
          <w:sz w:val="28"/>
          <w:szCs w:val="28"/>
          <w:rtl/>
        </w:rPr>
      </w:pPr>
      <w:r>
        <w:rPr>
          <w:rFonts w:ascii="Simplified Arabic" w:hAnsi="Simplified Arabic" w:cs="Simplified Arabic" w:hint="cs"/>
          <w:color w:val="365F91" w:themeColor="accent1" w:themeShade="BF"/>
          <w:sz w:val="28"/>
          <w:szCs w:val="28"/>
          <w:rtl/>
        </w:rPr>
        <w:t>الميت دماغيًا</w:t>
      </w:r>
    </w:p>
    <w:p w:rsidR="00035D30" w:rsidRPr="00362431" w:rsidRDefault="00035D30" w:rsidP="0030223E">
      <w:pPr>
        <w:framePr w:hSpace="180" w:wrap="around" w:vAnchor="text" w:hAnchor="margin" w:xAlign="center" w:y="258"/>
        <w:suppressOverlap/>
        <w:jc w:val="center"/>
        <w:rPr>
          <w:rFonts w:ascii="Simplified Arabic" w:hAnsi="Simplified Arabic" w:cs="Simplified Arabic"/>
          <w:color w:val="365F91" w:themeColor="accent1" w:themeShade="BF"/>
          <w:sz w:val="28"/>
          <w:szCs w:val="28"/>
          <w:rtl/>
        </w:rPr>
      </w:pPr>
      <w:r w:rsidRPr="00362431">
        <w:rPr>
          <w:rFonts w:ascii="Simplified Arabic" w:hAnsi="Simplified Arabic" w:cs="Simplified Arabic" w:hint="cs"/>
          <w:color w:val="365F91" w:themeColor="accent1" w:themeShade="BF"/>
          <w:sz w:val="28"/>
          <w:szCs w:val="28"/>
          <w:rtl/>
        </w:rPr>
        <w:t>نوازل معاصرة</w:t>
      </w:r>
    </w:p>
    <w:p w:rsidR="004A5030" w:rsidRDefault="00035D30" w:rsidP="0030223E">
      <w:pPr>
        <w:jc w:val="both"/>
      </w:pPr>
      <w:r w:rsidRPr="006747BE">
        <w:rPr>
          <w:rFonts w:ascii="Simplified Arabic" w:hAnsi="Simplified Arabic" w:cs="Simplified Arabic"/>
          <w:sz w:val="28"/>
          <w:szCs w:val="28"/>
          <w:rtl/>
        </w:rPr>
        <w:t>الميت دماغيًا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</w:rPr>
        <w:t>لا بد من تيقن خروج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6747BE">
        <w:rPr>
          <w:rFonts w:ascii="Simplified Arabic" w:hAnsi="Simplified Arabic" w:cs="Simplified Arabic"/>
          <w:sz w:val="28"/>
          <w:szCs w:val="28"/>
          <w:rtl/>
        </w:rPr>
        <w:t>روح</w:t>
      </w:r>
      <w:r>
        <w:rPr>
          <w:rFonts w:ascii="Simplified Arabic" w:hAnsi="Simplified Arabic" w:cs="Simplified Arabic" w:hint="cs"/>
          <w:sz w:val="28"/>
          <w:szCs w:val="28"/>
          <w:rtl/>
        </w:rPr>
        <w:t>ه</w:t>
      </w:r>
      <w:r w:rsidRPr="006747BE">
        <w:rPr>
          <w:rFonts w:ascii="Simplified Arabic" w:hAnsi="Simplified Arabic" w:cs="Simplified Arabic"/>
          <w:sz w:val="28"/>
          <w:szCs w:val="28"/>
          <w:rtl/>
        </w:rPr>
        <w:t xml:space="preserve">، ولا يكفي موت الدماغ، وإن قرر الأطباء </w:t>
      </w:r>
      <w:r>
        <w:rPr>
          <w:rFonts w:ascii="Simplified Arabic" w:hAnsi="Simplified Arabic" w:cs="Simplified Arabic"/>
          <w:sz w:val="28"/>
          <w:szCs w:val="28"/>
          <w:rtl/>
        </w:rPr>
        <w:t>أنه في حكم الميت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</w:t>
      </w:r>
      <w:r>
        <w:rPr>
          <w:rFonts w:ascii="Simplified Arabic" w:hAnsi="Simplified Arabic" w:cs="Simplified Arabic"/>
          <w:sz w:val="28"/>
          <w:szCs w:val="28"/>
          <w:rtl/>
        </w:rPr>
        <w:t>أنه قد مات دماغي</w:t>
      </w:r>
      <w:r>
        <w:rPr>
          <w:rFonts w:ascii="Simplified Arabic" w:hAnsi="Simplified Arabic" w:cs="Simplified Arabic" w:hint="cs"/>
          <w:sz w:val="28"/>
          <w:szCs w:val="28"/>
          <w:rtl/>
        </w:rPr>
        <w:t>ً</w:t>
      </w:r>
      <w:r>
        <w:rPr>
          <w:rFonts w:ascii="Simplified Arabic" w:hAnsi="Simplified Arabic" w:cs="Simplified Arabic"/>
          <w:sz w:val="28"/>
          <w:szCs w:val="28"/>
          <w:rtl/>
        </w:rPr>
        <w:t>ا</w:t>
      </w:r>
      <w:r w:rsidRPr="006747BE">
        <w:rPr>
          <w:rFonts w:ascii="Simplified Arabic" w:hAnsi="Simplified Arabic" w:cs="Simplified Arabic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</w:rPr>
        <w:t>لكنه ليس بميت</w:t>
      </w:r>
      <w:r w:rsidRPr="006747BE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حقيقةً </w:t>
      </w:r>
      <w:r w:rsidRPr="006747BE">
        <w:rPr>
          <w:rFonts w:ascii="Simplified Arabic" w:hAnsi="Simplified Arabic" w:cs="Simplified Arabic"/>
          <w:sz w:val="28"/>
          <w:szCs w:val="28"/>
          <w:rtl/>
        </w:rPr>
        <w:t xml:space="preserve">حتى تخرج روحه، وعلى هذا </w:t>
      </w:r>
      <w:r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Pr="006747BE">
        <w:rPr>
          <w:rFonts w:ascii="Simplified Arabic" w:hAnsi="Simplified Arabic" w:cs="Simplified Arabic"/>
          <w:sz w:val="28"/>
          <w:szCs w:val="28"/>
          <w:rtl/>
        </w:rPr>
        <w:t>لا يجوز أن ي</w:t>
      </w:r>
      <w:r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6747BE">
        <w:rPr>
          <w:rFonts w:ascii="Simplified Arabic" w:hAnsi="Simplified Arabic" w:cs="Simplified Arabic"/>
          <w:sz w:val="28"/>
          <w:szCs w:val="28"/>
          <w:rtl/>
        </w:rPr>
        <w:t>فعل به أي شيء مما ي</w:t>
      </w:r>
      <w:r>
        <w:rPr>
          <w:rFonts w:ascii="Simplified Arabic" w:hAnsi="Simplified Arabic" w:cs="Simplified Arabic"/>
          <w:sz w:val="28"/>
          <w:szCs w:val="28"/>
          <w:rtl/>
        </w:rPr>
        <w:t>تعلق بالأموات،</w:t>
      </w:r>
      <w:bookmarkStart w:id="0" w:name="_GoBack"/>
      <w:bookmarkEnd w:id="0"/>
      <w:r>
        <w:rPr>
          <w:rFonts w:ascii="Simplified Arabic" w:hAnsi="Simplified Arabic" w:cs="Simplified Arabic"/>
          <w:sz w:val="28"/>
          <w:szCs w:val="28"/>
          <w:rtl/>
        </w:rPr>
        <w:t xml:space="preserve"> أو يتسبب في موته</w:t>
      </w:r>
      <w:r w:rsidRPr="006747BE">
        <w:rPr>
          <w:rFonts w:ascii="Simplified Arabic" w:hAnsi="Simplified Arabic" w:cs="Simplified Arabic"/>
          <w:sz w:val="28"/>
          <w:szCs w:val="28"/>
          <w:rtl/>
        </w:rPr>
        <w:t xml:space="preserve"> ما دامت الروح باقية، فإذا ت</w:t>
      </w:r>
      <w:r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6747BE">
        <w:rPr>
          <w:rFonts w:ascii="Simplified Arabic" w:hAnsi="Simplified Arabic" w:cs="Simplified Arabic"/>
          <w:sz w:val="28"/>
          <w:szCs w:val="28"/>
          <w:rtl/>
        </w:rPr>
        <w:t>يقن المو</w:t>
      </w:r>
      <w:r>
        <w:rPr>
          <w:rFonts w:ascii="Simplified Arabic" w:hAnsi="Simplified Arabic" w:cs="Simplified Arabic"/>
          <w:sz w:val="28"/>
          <w:szCs w:val="28"/>
          <w:rtl/>
        </w:rPr>
        <w:t>ت بخروج الروح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أو بظهور علاماته التي يعرفها من زاولها، حُكم بموته.</w:t>
      </w:r>
    </w:p>
    <w:sectPr w:rsidR="004A5030" w:rsidSect="0073647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0220B459-1E52-4445-A966-6692536CC5FD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2" w:fontKey="{6040C5F0-ADD0-4CE6-80F6-B1A9A1855D24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3" w:fontKey="{FCDF26C1-5B52-4B28-BD4B-FE6B128E638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4C541A4B-9484-4A30-8450-80EB1C04B9F7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B6B43D64-628D-48EF-8646-077DCC59380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595D87EB-83CE-4228-9689-9C88D559BFF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4FC4"/>
    <w:rsid w:val="00035D30"/>
    <w:rsid w:val="0030223E"/>
    <w:rsid w:val="004A5030"/>
    <w:rsid w:val="0073647D"/>
    <w:rsid w:val="00AC4F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3192CB2-149A-472A-8143-66FE956244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35D30"/>
    <w:pPr>
      <w:bidi/>
      <w:spacing w:after="160" w:line="259" w:lineRule="auto"/>
    </w:pPr>
    <w:rPr>
      <w:rFonts w:cs="Traditional Arabic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52</Words>
  <Characters>302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EU-RAD</cp:lastModifiedBy>
  <cp:revision>4</cp:revision>
  <cp:lastPrinted>2016-10-14T03:41:00Z</cp:lastPrinted>
  <dcterms:created xsi:type="dcterms:W3CDTF">2016-05-12T08:41:00Z</dcterms:created>
  <dcterms:modified xsi:type="dcterms:W3CDTF">2016-10-14T03:42:00Z</dcterms:modified>
</cp:coreProperties>
</file>